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B85" w:val="clear"/>
            <w:tcMar>
              <w:top w:type="dxa" w:w="400"/>
              <w:left w:type="dxa" w:w="400"/>
              <w:bottom w:type="dxa" w:w="300"/>
              <w:right w:type="dxa" w:w="400"/>
            </w:tcMar>
          </w:tcPr>
          <w:p>
            <w:pPr>
              <w:spacing w:before="0" w:after="120"/>
              <w:jc w:val="center"/>
            </w:pPr>
            <w:r>
              <w:rPr>
                <w:rFonts w:ascii="Arial" w:cs="Arial" w:eastAsia="Arial" w:hAnsi="Arial"/>
                <w:b/>
                <w:bCs/>
                <w:color w:val="FFFFFF"/>
                <w:sz w:val="56"/>
                <w:szCs w:val="56"/>
              </w:rPr>
              <w:t xml:space="preserve">ABIYAMO</w:t>
            </w:r>
          </w:p>
          <w:p>
            <w:pPr>
              <w:spacing w:before="0" w:after="80"/>
              <w:jc w:val="center"/>
            </w:pPr>
            <w:r>
              <w:rPr>
                <w:rFonts w:ascii="Arial" w:cs="Arial" w:eastAsia="Arial" w:hAnsi="Arial"/>
                <w:color w:val="CCF0F2"/>
                <w:sz w:val="26"/>
                <w:szCs w:val="26"/>
              </w:rPr>
              <w:t xml:space="preserve">AI Companion for Safe Pregnancy and Healthy Newborns</w:t>
            </w:r>
          </w:p>
          <w:p>
            <w:pPr>
              <w:jc w:val="center"/>
            </w:pPr>
            <w:r>
              <w:rPr>
                <w:rFonts w:ascii="Arial" w:cs="Arial" w:eastAsia="Arial" w:hAnsi="Arial"/>
                <w:i/>
                <w:iCs/>
                <w:color w:val="99DADE"/>
                <w:sz w:val="20"/>
                <w:szCs w:val="20"/>
              </w:rPr>
              <w:t xml:space="preserve">System Thinking Document  |  Version 1.0  |  March 2026</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shd w:fill="E0F4F5" w:val="clear"/>
            <w:tcMar>
              <w:top w:type="dxa" w:w="160"/>
              <w:left w:type="dxa" w:w="200"/>
              <w:bottom w:type="dxa" w:w="160"/>
              <w:right w:type="dxa" w:w="200"/>
            </w:tcMar>
          </w:tcPr>
          <w:p>
            <w:pPr>
              <w:spacing w:before="40" w:after="80"/>
            </w:pPr>
            <w:r>
              <w:rPr>
                <w:rFonts w:ascii="Arial" w:cs="Arial" w:eastAsia="Arial" w:hAnsi="Arial"/>
                <w:b/>
                <w:bCs/>
                <w:color w:val="007B85"/>
                <w:sz w:val="22"/>
                <w:szCs w:val="22"/>
              </w:rPr>
              <w:t xml:space="preserve">Core Promise</w:t>
            </w:r>
          </w:p>
          <w:p>
            <w:r>
              <w:rPr>
                <w:rFonts w:ascii="Arial" w:cs="Arial" w:eastAsia="Arial" w:hAnsi="Arial"/>
                <w:color w:val="1A1A2E"/>
                <w:sz w:val="22"/>
                <w:szCs w:val="22"/>
              </w:rPr>
              <w:t xml:space="preserve">Abiyamo turns routine ANC data and a mother's phone into an early warning system that protects both mother and baby from pregnancy to the first 28 days of life.</w:t>
            </w:r>
          </w:p>
        </w:tc>
        <w:tc>
          <w:tcPr>
            <w:tcW w:type="dxa" w:w="4620"/>
            <w:tcBorders>
              <w:top w:val="none" w:color="FFFFFF" w:sz="0"/>
              <w:left w:val="none" w:color="FFFFFF" w:sz="0"/>
              <w:bottom w:val="none" w:color="FFFFFF" w:sz="0"/>
              <w:right w:val="none" w:color="FFFFFF" w:sz="0"/>
            </w:tcBorders>
            <w:shd w:fill="FEF0E6" w:val="clear"/>
            <w:tcMar>
              <w:top w:type="dxa" w:w="160"/>
              <w:left w:type="dxa" w:w="200"/>
              <w:bottom w:type="dxa" w:w="160"/>
              <w:right w:type="dxa" w:w="200"/>
            </w:tcMar>
          </w:tcPr>
          <w:p>
            <w:pPr>
              <w:spacing w:before="40" w:after="80"/>
            </w:pPr>
            <w:r>
              <w:rPr>
                <w:rFonts w:ascii="Arial" w:cs="Arial" w:eastAsia="Arial" w:hAnsi="Arial"/>
                <w:b/>
                <w:bCs/>
                <w:color w:val="007B85"/>
                <w:sz w:val="22"/>
                <w:szCs w:val="22"/>
              </w:rPr>
              <w:t xml:space="preserve">Prepared by</w:t>
            </w:r>
          </w:p>
          <w:p>
            <w:r>
              <w:rPr>
                <w:rFonts w:ascii="Arial" w:cs="Arial" w:eastAsia="Arial" w:hAnsi="Arial"/>
                <w:color w:val="1A1A2E"/>
                <w:sz w:val="22"/>
                <w:szCs w:val="22"/>
              </w:rPr>
              <w:t xml:space="preserve">Oluwatobi</w:t>
            </w:r>
          </w:p>
          <w:p>
            <w:pPr>
              <w:spacing w:before="60" w:after="0"/>
            </w:pPr>
            <w:r>
              <w:t xml:space="preserve"/>
            </w:r>
          </w:p>
          <w:p>
            <w:r>
              <w:rPr>
                <w:rFonts w:ascii="Arial" w:cs="Arial" w:eastAsia="Arial" w:hAnsi="Arial"/>
                <w:i/>
                <w:iCs/>
                <w:color w:val="777777"/>
                <w:sz w:val="20"/>
                <w:szCs w:val="20"/>
              </w:rPr>
              <w:t xml:space="preserve">AI4SID Accelerator Programme</w:t>
            </w:r>
          </w:p>
          <w:p>
            <w:r>
              <w:rPr>
                <w:rFonts w:ascii="Arial" w:cs="Arial" w:eastAsia="Arial" w:hAnsi="Arial"/>
                <w:i/>
                <w:iCs/>
                <w:color w:val="777777"/>
                <w:sz w:val="20"/>
                <w:szCs w:val="20"/>
              </w:rPr>
              <w:t xml:space="preserve">Cohort Capstone Project</w:t>
            </w:r>
          </w:p>
        </w:tc>
      </w:tr>
    </w:tbl>
    <w:p>
      <w:pPr>
        <w:spacing w:before="240" w:after="0"/>
      </w:pPr>
      <w:r>
        <w:t xml:space="preserve"/>
      </w:r>
    </w:p>
    <w:p>
      <w:pPr>
        <w:pStyle w:val="Heading1"/>
        <w:pBdr>
          <w:bottom w:val="single" w:color="007B85" w:sz="4" w:space="6"/>
        </w:pBdr>
        <w:spacing w:before="400" w:after="200"/>
      </w:pPr>
      <w:r>
        <w:rPr>
          <w:rFonts w:ascii="Arial" w:cs="Arial" w:eastAsia="Arial" w:hAnsi="Arial"/>
          <w:b/>
          <w:bCs/>
          <w:color w:val="007B85"/>
          <w:sz w:val="32"/>
          <w:szCs w:val="32"/>
        </w:rPr>
        <w:t xml:space="preserve">1. Problem Statement</w:t>
      </w:r>
    </w:p>
    <w:p>
      <w:pPr>
        <w:spacing w:before="80" w:after="80"/>
      </w:pPr>
      <w:r>
        <w:rPr>
          <w:rFonts w:ascii="Arial" w:cs="Arial" w:eastAsia="Arial" w:hAnsi="Arial"/>
          <w:color w:val="1A1A2E"/>
          <w:sz w:val="22"/>
          <w:szCs w:val="22"/>
        </w:rPr>
        <w:t xml:space="preserve">Nigeria accounts for approximately 20% of global maternal deaths. Most of these deaths are preventable and occur in the context of antenatal care contacts where danger signs are present but undetected, acted upon too late, or not communicated clearly to the mother.</w:t>
      </w:r>
    </w:p>
    <w:p>
      <w:pPr>
        <w:spacing w:before="80" w:after="0"/>
      </w:pPr>
      <w:r>
        <w:t xml:space="preserve"/>
      </w:r>
    </w:p>
    <w:p>
      <w:pPr>
        <w:spacing w:before="80" w:after="80"/>
      </w:pPr>
      <w:r>
        <w:rPr>
          <w:rFonts w:ascii="Arial" w:cs="Arial" w:eastAsia="Arial" w:hAnsi="Arial"/>
          <w:b/>
          <w:bCs/>
          <w:color w:val="1A1A2E"/>
          <w:sz w:val="22"/>
          <w:szCs w:val="22"/>
        </w:rPr>
        <w:t xml:space="preserve">Three interconnected failures drive this crisis: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shd w:fill="E0F4F5" w:val="clear"/>
            <w:tcMar>
              <w:top w:type="dxa" w:w="160"/>
              <w:left w:type="dxa" w:w="200"/>
              <w:bottom w:type="dxa" w:w="160"/>
              <w:right w:type="dxa" w:w="200"/>
            </w:tcMar>
          </w:tcPr>
          <w:p>
            <w:pPr>
              <w:spacing w:before="40" w:after="80"/>
            </w:pPr>
            <w:r>
              <w:rPr>
                <w:rFonts w:ascii="Arial" w:cs="Arial" w:eastAsia="Arial" w:hAnsi="Arial"/>
                <w:b/>
                <w:bCs/>
                <w:color w:val="007B85"/>
                <w:sz w:val="22"/>
                <w:szCs w:val="22"/>
              </w:rPr>
              <w:t xml:space="preserve">Failure 1: Clinic Side</w:t>
            </w:r>
          </w:p>
          <w:p>
            <w:r>
              <w:rPr>
                <w:rFonts w:ascii="Arial" w:cs="Arial" w:eastAsia="Arial" w:hAnsi="Arial"/>
                <w:color w:val="1A1A2E"/>
                <w:sz w:val="21"/>
                <w:szCs w:val="21"/>
              </w:rPr>
              <w:t xml:space="preserve">Nurses and CHOs collect rich ANC data but lack decision support to translate measurements into structured risk categories. Clinical judgment varies and referral decisions are inconsistent.</w:t>
            </w:r>
          </w:p>
        </w:tc>
        <w:tc>
          <w:tcPr>
            <w:tcW w:type="dxa" w:w="4620"/>
            <w:tcBorders>
              <w:top w:val="none" w:color="FFFFFF" w:sz="0"/>
              <w:left w:val="none" w:color="FFFFFF" w:sz="0"/>
              <w:bottom w:val="none" w:color="FFFFFF" w:sz="0"/>
              <w:right w:val="none" w:color="FFFFFF" w:sz="0"/>
            </w:tcBorders>
            <w:shd w:fill="FEF0E6" w:val="clear"/>
            <w:tcMar>
              <w:top w:type="dxa" w:w="160"/>
              <w:left w:type="dxa" w:w="200"/>
              <w:bottom w:type="dxa" w:w="160"/>
              <w:right w:type="dxa" w:w="200"/>
            </w:tcMar>
          </w:tcPr>
          <w:p>
            <w:pPr>
              <w:spacing w:before="40" w:after="80"/>
            </w:pPr>
            <w:r>
              <w:rPr>
                <w:rFonts w:ascii="Arial" w:cs="Arial" w:eastAsia="Arial" w:hAnsi="Arial"/>
                <w:b/>
                <w:bCs/>
                <w:color w:val="E8620A"/>
                <w:sz w:val="22"/>
                <w:szCs w:val="22"/>
              </w:rPr>
              <w:t xml:space="preserve">Failure 2: Mother Side</w:t>
            </w:r>
          </w:p>
          <w:p>
            <w:r>
              <w:rPr>
                <w:rFonts w:ascii="Arial" w:cs="Arial" w:eastAsia="Arial" w:hAnsi="Arial"/>
                <w:color w:val="1A1A2E"/>
                <w:sz w:val="21"/>
                <w:szCs w:val="21"/>
              </w:rPr>
              <w:t xml:space="preserve">Mothers leave the clinic with verbal advice they cannot recall or act on. Danger signs are not communicated in plain language or local languages. Appointment compliance is low.</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0E6" w:val="clear"/>
            <w:tcMar>
              <w:top w:type="dxa" w:w="160"/>
              <w:left w:type="dxa" w:w="240"/>
              <w:bottom w:type="dxa" w:w="160"/>
              <w:right w:type="dxa" w:w="240"/>
            </w:tcMar>
          </w:tcPr>
          <w:p>
            <w:pPr>
              <w:spacing w:before="40" w:after="80"/>
            </w:pPr>
            <w:r>
              <w:rPr>
                <w:rFonts w:ascii="Arial" w:cs="Arial" w:eastAsia="Arial" w:hAnsi="Arial"/>
                <w:b/>
                <w:bCs/>
                <w:color w:val="E8620A"/>
                <w:sz w:val="24"/>
                <w:szCs w:val="24"/>
              </w:rPr>
              <w:t xml:space="preserve">Failure 3: Newborn Window</w:t>
            </w:r>
          </w:p>
          <w:p>
            <w:r>
              <w:rPr>
                <w:rFonts w:ascii="Arial" w:cs="Arial" w:eastAsia="Arial" w:hAnsi="Arial"/>
                <w:color w:val="1A1A2E"/>
                <w:sz w:val="21"/>
                <w:szCs w:val="21"/>
              </w:rPr>
              <w:t xml:space="preserve">The first 28 days of life carry the highest mortality risk for Nigerian newborns. Families go home from facilities with no structured watchlist or alert system for jaundice, sepsis, or feeding failure during this critical period.</w:t>
            </w:r>
          </w:p>
        </w:tc>
      </w:tr>
    </w:tbl>
    <w:p>
      <w:pPr>
        <w:spacing w:before="200" w:after="0"/>
      </w:pPr>
      <w:r>
        <w:t xml:space="preserve"/>
      </w:r>
    </w:p>
    <w:p>
      <w:pPr>
        <w:pStyle w:val="Heading1"/>
        <w:pBdr>
          <w:bottom w:val="single" w:color="007B85" w:sz="4" w:space="6"/>
        </w:pBdr>
        <w:spacing w:before="400" w:after="200"/>
      </w:pPr>
      <w:r>
        <w:rPr>
          <w:rFonts w:ascii="Arial" w:cs="Arial" w:eastAsia="Arial" w:hAnsi="Arial"/>
          <w:b/>
          <w:bCs/>
          <w:color w:val="007B85"/>
          <w:sz w:val="32"/>
          <w:szCs w:val="32"/>
        </w:rPr>
        <w:t xml:space="preserve">2. Solution Overview: ABIYAMO</w:t>
      </w:r>
    </w:p>
    <w:p>
      <w:pPr>
        <w:spacing w:before="80" w:after="80"/>
      </w:pPr>
      <w:r>
        <w:rPr>
          <w:rFonts w:ascii="Arial" w:cs="Arial" w:eastAsia="Arial" w:hAnsi="Arial"/>
          <w:color w:val="1A1A2E"/>
          <w:sz w:val="22"/>
          <w:szCs w:val="22"/>
        </w:rPr>
        <w:t xml:space="preserve">Abiyamo is a three-layer AI system that works at the clinic level, the community level, and the household level simultaneously. It does not require new data collection, new hardware, or significant changes to existing workflows.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07B85" w:val="clear"/>
            <w:tcMar>
              <w:top w:type="dxa" w:w="200"/>
              <w:left w:type="dxa" w:w="200"/>
              <w:bottom w:type="dxa" w:w="200"/>
              <w:right w:type="dxa" w:w="200"/>
            </w:tcMar>
          </w:tcPr>
          <w:p>
            <w:pPr>
              <w:spacing w:before="0" w:after="80"/>
              <w:jc w:val="center"/>
            </w:pPr>
            <w:r>
              <w:rPr>
                <w:rFonts w:ascii="Arial" w:cs="Arial" w:eastAsia="Arial" w:hAnsi="Arial"/>
                <w:color w:val="CCF0F2"/>
                <w:sz w:val="20"/>
                <w:szCs w:val="20"/>
              </w:rPr>
              <w:t xml:space="preserve">Layer 1</w:t>
            </w:r>
          </w:p>
          <w:p>
            <w:pPr>
              <w:spacing w:before="0" w:after="80"/>
              <w:jc w:val="center"/>
            </w:pPr>
            <w:r>
              <w:rPr>
                <w:rFonts w:ascii="Arial" w:cs="Arial" w:eastAsia="Arial" w:hAnsi="Arial"/>
                <w:b/>
                <w:bCs/>
                <w:color w:val="FFFFFF"/>
                <w:sz w:val="24"/>
                <w:szCs w:val="24"/>
              </w:rPr>
              <w:t xml:space="preserve">Clinic Risk</w:t>
            </w:r>
          </w:p>
          <w:p>
            <w:pPr>
              <w:jc w:val="center"/>
            </w:pPr>
            <w:r>
              <w:rPr>
                <w:rFonts w:ascii="Arial" w:cs="Arial" w:eastAsia="Arial" w:hAnsi="Arial"/>
                <w:color w:val="CCF0F2"/>
                <w:sz w:val="20"/>
                <w:szCs w:val="20"/>
              </w:rPr>
              <w:t xml:space="preserve">Smart ANC Risk Scoring at point of care</w:t>
            </w:r>
          </w:p>
        </w:tc>
        <w:tc>
          <w:tcPr>
            <w:tcW w:type="dxa" w:w="3120"/>
            <w:tcBorders>
              <w:top w:val="none" w:color="FFFFFF" w:sz="0"/>
              <w:left w:val="none" w:color="FFFFFF" w:sz="0"/>
              <w:bottom w:val="none" w:color="FFFFFF" w:sz="0"/>
              <w:right w:val="none" w:color="FFFFFF" w:sz="0"/>
            </w:tcBorders>
            <w:shd w:fill="E8620A" w:val="clear"/>
            <w:tcMar>
              <w:top w:type="dxa" w:w="200"/>
              <w:left w:type="dxa" w:w="200"/>
              <w:bottom w:type="dxa" w:w="200"/>
              <w:right w:type="dxa" w:w="200"/>
            </w:tcMar>
          </w:tcPr>
          <w:p>
            <w:pPr>
              <w:spacing w:before="0" w:after="80"/>
              <w:jc w:val="center"/>
            </w:pPr>
            <w:r>
              <w:rPr>
                <w:rFonts w:ascii="Arial" w:cs="Arial" w:eastAsia="Arial" w:hAnsi="Arial"/>
                <w:color w:val="FCE4D0"/>
                <w:sz w:val="20"/>
                <w:szCs w:val="20"/>
              </w:rPr>
              <w:t xml:space="preserve">Layer 2</w:t>
            </w:r>
          </w:p>
          <w:p>
            <w:pPr>
              <w:spacing w:before="0" w:after="80"/>
              <w:jc w:val="center"/>
            </w:pPr>
            <w:r>
              <w:rPr>
                <w:rFonts w:ascii="Arial" w:cs="Arial" w:eastAsia="Arial" w:hAnsi="Arial"/>
                <w:b/>
                <w:bCs/>
                <w:color w:val="FFFFFF"/>
                <w:sz w:val="24"/>
                <w:szCs w:val="24"/>
              </w:rPr>
              <w:t xml:space="preserve">Mother Guide</w:t>
            </w:r>
          </w:p>
          <w:p>
            <w:pPr>
              <w:jc w:val="center"/>
            </w:pPr>
            <w:r>
              <w:rPr>
                <w:rFonts w:ascii="Arial" w:cs="Arial" w:eastAsia="Arial" w:hAnsi="Arial"/>
                <w:color w:val="FCE4D0"/>
                <w:sz w:val="20"/>
                <w:szCs w:val="20"/>
              </w:rPr>
              <w:t xml:space="preserve">WhatsApp engagement in English, Pidgin, or Yoruba</w:t>
            </w:r>
          </w:p>
        </w:tc>
        <w:tc>
          <w:tcPr>
            <w:tcW w:type="dxa" w:w="3120"/>
            <w:tcBorders>
              <w:top w:val="none" w:color="FFFFFF" w:sz="0"/>
              <w:left w:val="none" w:color="FFFFFF" w:sz="0"/>
              <w:bottom w:val="none" w:color="FFFFFF" w:sz="0"/>
              <w:right w:val="none" w:color="FFFFFF" w:sz="0"/>
            </w:tcBorders>
            <w:shd w:fill="1A1A2E" w:val="clear"/>
            <w:tcMar>
              <w:top w:type="dxa" w:w="200"/>
              <w:left w:type="dxa" w:w="200"/>
              <w:bottom w:type="dxa" w:w="200"/>
              <w:right w:type="dxa" w:w="200"/>
            </w:tcMar>
          </w:tcPr>
          <w:p>
            <w:pPr>
              <w:spacing w:before="0" w:after="80"/>
              <w:jc w:val="center"/>
            </w:pPr>
            <w:r>
              <w:rPr>
                <w:rFonts w:ascii="Arial" w:cs="Arial" w:eastAsia="Arial" w:hAnsi="Arial"/>
                <w:color w:val="AAAACC"/>
                <w:sz w:val="20"/>
                <w:szCs w:val="20"/>
              </w:rPr>
              <w:t xml:space="preserve">Layer 3</w:t>
            </w:r>
          </w:p>
          <w:p>
            <w:pPr>
              <w:spacing w:before="0" w:after="80"/>
              <w:jc w:val="center"/>
            </w:pPr>
            <w:r>
              <w:rPr>
                <w:rFonts w:ascii="Arial" w:cs="Arial" w:eastAsia="Arial" w:hAnsi="Arial"/>
                <w:b/>
                <w:bCs/>
                <w:color w:val="FFFFFF"/>
                <w:sz w:val="24"/>
                <w:szCs w:val="24"/>
              </w:rPr>
              <w:t xml:space="preserve">Newborn Watch</w:t>
            </w:r>
          </w:p>
          <w:p>
            <w:pPr>
              <w:jc w:val="center"/>
            </w:pPr>
            <w:r>
              <w:rPr>
                <w:rFonts w:ascii="Arial" w:cs="Arial" w:eastAsia="Arial" w:hAnsi="Arial"/>
                <w:color w:val="AAAACC"/>
                <w:sz w:val="20"/>
                <w:szCs w:val="20"/>
              </w:rPr>
              <w:t xml:space="preserve">Day 1-28 checklist, jaundice, sepsis, immunization alerts</w:t>
            </w:r>
          </w:p>
        </w:tc>
      </w:tr>
    </w:tbl>
    <w:p>
      <w:pPr>
        <w:spacing w:before="200" w:after="0"/>
      </w:pPr>
      <w:r>
        <w:t xml:space="preserve"/>
      </w:r>
    </w:p>
    <w:p>
      <w:pPr>
        <w:pStyle w:val="Heading1"/>
        <w:pBdr>
          <w:bottom w:val="single" w:color="007B85" w:sz="4" w:space="6"/>
        </w:pBdr>
        <w:spacing w:before="400" w:after="200"/>
      </w:pPr>
      <w:r>
        <w:rPr>
          <w:rFonts w:ascii="Arial" w:cs="Arial" w:eastAsia="Arial" w:hAnsi="Arial"/>
          <w:b/>
          <w:bCs/>
          <w:color w:val="007B85"/>
          <w:sz w:val="32"/>
          <w:szCs w:val="32"/>
        </w:rPr>
        <w:t xml:space="preserve">3. System Architecture</w:t>
      </w:r>
    </w:p>
    <w:p>
      <w:pPr>
        <w:spacing w:before="80" w:after="80"/>
      </w:pPr>
      <w:r>
        <w:rPr>
          <w:rFonts w:ascii="Arial" w:cs="Arial" w:eastAsia="Arial" w:hAnsi="Arial"/>
          <w:color w:val="1A1A2E"/>
          <w:sz w:val="22"/>
          <w:szCs w:val="22"/>
        </w:rPr>
        <w:t xml:space="preserve">The system is composed of four integrated components that work together to deliver intelligent risk assessment and timely intervention.</w:t>
      </w:r>
    </w:p>
    <w:p>
      <w:pPr>
        <w:spacing w:before="120" w:after="0"/>
      </w:pPr>
      <w:r>
        <w:t xml:space="preserve"/>
      </w:r>
    </w:p>
    <w:p>
      <w:pPr>
        <w:pStyle w:val="Heading2"/>
        <w:spacing w:before="300" w:after="160"/>
      </w:pPr>
      <w:r>
        <w:rPr>
          <w:rFonts w:ascii="Arial" w:cs="Arial" w:eastAsia="Arial" w:hAnsi="Arial"/>
          <w:b/>
          <w:bCs/>
          <w:color w:val="1A1A2E"/>
          <w:sz w:val="26"/>
          <w:szCs w:val="26"/>
        </w:rPr>
        <w:t xml:space="preserve">3.1 Data Layer</w:t>
      </w:r>
    </w:p>
    <w:p>
      <w:pPr>
        <w:spacing w:before="80" w:after="80"/>
      </w:pPr>
      <w:r>
        <w:rPr>
          <w:rFonts w:ascii="Arial" w:cs="Arial" w:eastAsia="Arial" w:hAnsi="Arial"/>
          <w:color w:val="1A1A2E"/>
          <w:sz w:val="22"/>
          <w:szCs w:val="22"/>
        </w:rPr>
        <w:t xml:space="preserve">Abiyamo draws from existing clinical data sources, avoiding any new data collection burden on healthcare workers.</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2E"/>
          <w:sz w:val="22"/>
          <w:szCs w:val="22"/>
        </w:rPr>
        <w:t xml:space="preserve">ANC registers and patient records at primary, secondary, and tertiary facilities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EMR API integration: DHIS2, NHMIS-compatible platforms, facility-specific EMRs</w:t>
      </w:r>
    </w:p>
    <w:p>
      <w:pPr>
        <w:pStyle w:val="ListParagraph"/>
        <w:numPr>
          <w:ilvl w:val="0"/>
          <w:numId w:val="2"/>
        </w:numPr>
        <w:spacing w:before="60" w:after="60"/>
      </w:pPr>
      <w:r>
        <w:rPr>
          <w:rFonts w:ascii="Arial" w:cs="Arial" w:eastAsia="Arial" w:hAnsi="Arial"/>
          <w:b w:val="false"/>
          <w:bCs w:val="false"/>
          <w:color w:val="1A1A2E"/>
          <w:sz w:val="22"/>
          <w:szCs w:val="22"/>
        </w:rPr>
        <w:t xml:space="preserve">Manual entry fallback interface for non-digitised facilities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WhatsApp self-reported symptoms and responses from mothers</w:t>
      </w:r>
    </w:p>
    <w:p>
      <w:pPr>
        <w:spacing w:before="120" w:after="0"/>
      </w:pPr>
      <w:r>
        <w:t xml:space="preserve"/>
      </w:r>
    </w:p>
    <w:p>
      <w:pPr>
        <w:pStyle w:val="Heading2"/>
        <w:spacing w:before="300" w:after="160"/>
      </w:pPr>
      <w:r>
        <w:rPr>
          <w:rFonts w:ascii="Arial" w:cs="Arial" w:eastAsia="Arial" w:hAnsi="Arial"/>
          <w:b/>
          <w:bCs/>
          <w:color w:val="1A1A2E"/>
          <w:sz w:val="26"/>
          <w:szCs w:val="26"/>
        </w:rPr>
        <w:t xml:space="preserve">3.2 AI Model Architecture: Hybrid Approach</w:t>
      </w:r>
    </w:p>
    <w:p>
      <w:pPr>
        <w:spacing w:before="80" w:after="80"/>
      </w:pPr>
      <w:r>
        <w:rPr>
          <w:rFonts w:ascii="Arial" w:cs="Arial" w:eastAsia="Arial" w:hAnsi="Arial"/>
          <w:color w:val="1A1A2E"/>
          <w:sz w:val="22"/>
          <w:szCs w:val="22"/>
        </w:rPr>
        <w:t xml:space="preserve">Abiyamo uses a hybrid AI model that combines rule-based clinical logic with machine learning, ensuring both transparency and adaptability.</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07B8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01</w:t>
            </w:r>
          </w:p>
        </w:tc>
        <w:tc>
          <w:tcPr>
            <w:tcW w:type="dxa" w:w="84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20" w:after="40"/>
            </w:pPr>
            <w:r>
              <w:rPr>
                <w:rFonts w:ascii="Arial" w:cs="Arial" w:eastAsia="Arial" w:hAnsi="Arial"/>
                <w:b/>
                <w:bCs/>
                <w:color w:val="1A1A2E"/>
                <w:sz w:val="22"/>
                <w:szCs w:val="22"/>
              </w:rPr>
              <w:t xml:space="preserve">Input Variables</w:t>
            </w:r>
          </w:p>
          <w:p>
            <w:r>
              <w:rPr>
                <w:rFonts w:ascii="Arial" w:cs="Arial" w:eastAsia="Arial" w:hAnsi="Arial"/>
                <w:color w:val="555555"/>
                <w:sz w:val="20"/>
                <w:szCs w:val="20"/>
              </w:rPr>
              <w:t xml:space="preserve">Blood pressure (systolic/diastolic), hemoglobin, gestational age, BMI, fundal height, urine protein, HIV status, malaria status, previous obstetric history (parity, CS, losses), presenting symptoms (oedema, headache, reduced fetal movement, bleeding)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07B8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02</w:t>
            </w:r>
          </w:p>
        </w:tc>
        <w:tc>
          <w:tcPr>
            <w:tcW w:type="dxa" w:w="84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20" w:after="40"/>
            </w:pPr>
            <w:r>
              <w:rPr>
                <w:rFonts w:ascii="Arial" w:cs="Arial" w:eastAsia="Arial" w:hAnsi="Arial"/>
                <w:b/>
                <w:bCs/>
                <w:color w:val="1A1A2E"/>
                <w:sz w:val="22"/>
                <w:szCs w:val="22"/>
              </w:rPr>
              <w:t xml:space="preserve">Rule-Based Layer (Clinical Guardrails)</w:t>
            </w:r>
          </w:p>
          <w:p>
            <w:r>
              <w:rPr>
                <w:rFonts w:ascii="Arial" w:cs="Arial" w:eastAsia="Arial" w:hAnsi="Arial"/>
                <w:color w:val="555555"/>
                <w:sz w:val="20"/>
                <w:szCs w:val="20"/>
              </w:rPr>
              <w:t xml:space="preserve">Hard clinical thresholds derived from WHO ANC guidelines and Nigerian clinical protocols. This layer catches critical values immediately: e.g. BP ≥ 160/110 = severe pre-eclampsia flag regardless of other variables. Ensures no dangerous case is missed by the ML model.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07B8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03</w:t>
            </w:r>
          </w:p>
        </w:tc>
        <w:tc>
          <w:tcPr>
            <w:tcW w:type="dxa" w:w="84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20" w:after="40"/>
            </w:pPr>
            <w:r>
              <w:rPr>
                <w:rFonts w:ascii="Arial" w:cs="Arial" w:eastAsia="Arial" w:hAnsi="Arial"/>
                <w:b/>
                <w:bCs/>
                <w:color w:val="1A1A2E"/>
                <w:sz w:val="22"/>
                <w:szCs w:val="22"/>
              </w:rPr>
              <w:t xml:space="preserve">ML Model Layer (Nuanced Scoring)</w:t>
            </w:r>
          </w:p>
          <w:p>
            <w:r>
              <w:rPr>
                <w:rFonts w:ascii="Arial" w:cs="Arial" w:eastAsia="Arial" w:hAnsi="Arial"/>
                <w:color w:val="555555"/>
                <w:sz w:val="20"/>
                <w:szCs w:val="20"/>
              </w:rPr>
              <w:t xml:space="preserve">A gradient boosted classifier (e.g. XGBoost) trained on ANC outcome data. Captures interaction effects between variables that rules cannot detect. Outputs a continuous risk probability score that the rules layer can override where thresholds are breached.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07B8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04</w:t>
            </w:r>
          </w:p>
        </w:tc>
        <w:tc>
          <w:tcPr>
            <w:tcW w:type="dxa" w:w="84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20" w:after="40"/>
            </w:pPr>
            <w:r>
              <w:rPr>
                <w:rFonts w:ascii="Arial" w:cs="Arial" w:eastAsia="Arial" w:hAnsi="Arial"/>
                <w:b/>
                <w:bCs/>
                <w:color w:val="1A1A2E"/>
                <w:sz w:val="22"/>
                <w:szCs w:val="22"/>
              </w:rPr>
              <w:t xml:space="preserve">ICD-10/11 Mapping Engine</w:t>
            </w:r>
          </w:p>
          <w:p>
            <w:r>
              <w:rPr>
                <w:rFonts w:ascii="Arial" w:cs="Arial" w:eastAsia="Arial" w:hAnsi="Arial"/>
                <w:color w:val="555555"/>
                <w:sz w:val="20"/>
                <w:szCs w:val="20"/>
              </w:rPr>
              <w:t xml:space="preserve">Risk outputs are mapped to relevant ICD-11 codes (Chapter 18: Pregnancy, childbirth and puerperium). This grounds outputs in clinical language, enables documentation interoperability, and drives specific clinical guidance per condition.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07B8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05</w:t>
            </w:r>
          </w:p>
        </w:tc>
        <w:tc>
          <w:tcPr>
            <w:tcW w:type="dxa" w:w="84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20" w:after="40"/>
            </w:pPr>
            <w:r>
              <w:rPr>
                <w:rFonts w:ascii="Arial" w:cs="Arial" w:eastAsia="Arial" w:hAnsi="Arial"/>
                <w:b/>
                <w:bCs/>
                <w:color w:val="1A1A2E"/>
                <w:sz w:val="22"/>
                <w:szCs w:val="22"/>
              </w:rPr>
              <w:t xml:space="preserve">Output Generation</w:t>
            </w:r>
          </w:p>
          <w:p>
            <w:r>
              <w:rPr>
                <w:rFonts w:ascii="Arial" w:cs="Arial" w:eastAsia="Arial" w:hAnsi="Arial"/>
                <w:color w:val="555555"/>
                <w:sz w:val="20"/>
                <w:szCs w:val="20"/>
              </w:rPr>
              <w:t xml:space="preserve">Risk category (Low / Moderate / High / Critical), condition-specific danger explanation, immediate clinical actions, referral pathway recommendation. Plain language for CHO, with ICD code in background for records.</w:t>
            </w:r>
          </w:p>
        </w:tc>
      </w:tr>
    </w:tbl>
    <w:p>
      <w:pPr>
        <w:spacing w:before="200" w:after="0"/>
      </w:pPr>
      <w:r>
        <w:t xml:space="preserve"/>
      </w:r>
    </w:p>
    <w:p>
      <w:pPr>
        <w:pStyle w:val="Heading1"/>
        <w:pBdr>
          <w:bottom w:val="single" w:color="007B85" w:sz="4" w:space="6"/>
        </w:pBdr>
        <w:spacing w:before="400" w:after="200"/>
      </w:pPr>
      <w:r>
        <w:rPr>
          <w:rFonts w:ascii="Arial" w:cs="Arial" w:eastAsia="Arial" w:hAnsi="Arial"/>
          <w:b/>
          <w:bCs/>
          <w:color w:val="007B85"/>
          <w:sz w:val="32"/>
          <w:szCs w:val="32"/>
        </w:rPr>
        <w:t xml:space="preserve">4. ICD-11 Condition Mapping (ANC Risk Layer)</w:t>
      </w:r>
    </w:p>
    <w:p>
      <w:pPr>
        <w:spacing w:before="80" w:after="80"/>
      </w:pPr>
      <w:r>
        <w:rPr>
          <w:rFonts w:ascii="Arial" w:cs="Arial" w:eastAsia="Arial" w:hAnsi="Arial"/>
          <w:color w:val="1A1A2E"/>
          <w:sz w:val="22"/>
          <w:szCs w:val="22"/>
        </w:rPr>
        <w:t xml:space="preserve">The following table maps key obstetric conditions to their ICD-11 codes, clinical trigger criteria within Abiyamo, and the recommended action output.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680"/>
        <w:gridCol w:w="2880"/>
      </w:tblGrid>
      <w:tr>
        <w:trPr>
          <w:tblHeader/>
        </w:trPr>
        <w:tc>
          <w:tcPr>
            <w:tcW w:type="dxa" w:w="1400"/>
            <w:tcBorders>
              <w:top w:val="single" w:color="CCCCCC" w:sz="1"/>
              <w:left w:val="single" w:color="CCCCCC" w:sz="1"/>
              <w:bottom w:val="single" w:color="CCCCCC" w:sz="1"/>
              <w:right w:val="single" w:color="CCCCCC" w:sz="1"/>
            </w:tcBorders>
            <w:shd w:fill="007B85" w:val="clear"/>
            <w:tcMar>
              <w:top w:type="dxa" w:w="80"/>
              <w:left w:type="dxa" w:w="120"/>
              <w:bottom w:type="dxa" w:w="80"/>
              <w:right w:type="dxa" w:w="120"/>
            </w:tcMar>
          </w:tcPr>
          <w:p>
            <w:r>
              <w:rPr>
                <w:rFonts w:ascii="Arial" w:cs="Arial" w:eastAsia="Arial" w:hAnsi="Arial"/>
                <w:b/>
                <w:bCs/>
                <w:color w:val="FFFFFF"/>
                <w:sz w:val="20"/>
                <w:szCs w:val="20"/>
              </w:rPr>
              <w:t xml:space="preserve">ICD-11 Code</w:t>
            </w:r>
          </w:p>
        </w:tc>
        <w:tc>
          <w:tcPr>
            <w:tcW w:type="dxa" w:w="2400"/>
            <w:tcBorders>
              <w:top w:val="single" w:color="CCCCCC" w:sz="1"/>
              <w:left w:val="single" w:color="CCCCCC" w:sz="1"/>
              <w:bottom w:val="single" w:color="CCCCCC" w:sz="1"/>
              <w:right w:val="single" w:color="CCCCCC" w:sz="1"/>
            </w:tcBorders>
            <w:shd w:fill="007B85"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80"/>
            <w:tcBorders>
              <w:top w:val="single" w:color="CCCCCC" w:sz="1"/>
              <w:left w:val="single" w:color="CCCCCC" w:sz="1"/>
              <w:bottom w:val="single" w:color="CCCCCC" w:sz="1"/>
              <w:right w:val="single" w:color="CCCCCC" w:sz="1"/>
            </w:tcBorders>
            <w:shd w:fill="007B85" w:val="clear"/>
            <w:tcMar>
              <w:top w:type="dxa" w:w="80"/>
              <w:left w:type="dxa" w:w="120"/>
              <w:bottom w:type="dxa" w:w="80"/>
              <w:right w:type="dxa" w:w="120"/>
            </w:tcMar>
          </w:tcPr>
          <w:p>
            <w:r>
              <w:rPr>
                <w:rFonts w:ascii="Arial" w:cs="Arial" w:eastAsia="Arial" w:hAnsi="Arial"/>
                <w:b/>
                <w:bCs/>
                <w:color w:val="FFFFFF"/>
                <w:sz w:val="20"/>
                <w:szCs w:val="20"/>
              </w:rPr>
              <w:t xml:space="preserve">Abiyamo Trigger</w:t>
            </w:r>
          </w:p>
        </w:tc>
        <w:tc>
          <w:tcPr>
            <w:tcW w:type="dxa" w:w="2880"/>
            <w:tcBorders>
              <w:top w:val="single" w:color="CCCCCC" w:sz="1"/>
              <w:left w:val="single" w:color="CCCCCC" w:sz="1"/>
              <w:bottom w:val="single" w:color="CCCCCC" w:sz="1"/>
              <w:right w:val="single" w:color="CCCCCC" w:sz="1"/>
            </w:tcBorders>
            <w:shd w:fill="007B85"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14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07B85"/>
                <w:sz w:val="20"/>
                <w:szCs w:val="20"/>
              </w:rPr>
              <w:t xml:space="preserve">JA24.1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Gestational hypertension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BP ≥ 140/90 on 2 readings, no proteinuria</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Moderate risk flag, repeat BP in 4hrs, monitor</w:t>
            </w:r>
          </w:p>
        </w:tc>
      </w:tr>
      <w:tr>
        <w:tc>
          <w:tcPr>
            <w:tcW w:type="dxa" w:w="14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07B85"/>
                <w:sz w:val="20"/>
                <w:szCs w:val="20"/>
              </w:rPr>
              <w:t xml:space="preserve">JA24.2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Pre-eclampsia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BP ≥ 140/90 + urine protein ≥ 2+</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High risk flag, urgent referral, MgSO4 protocol</w:t>
            </w:r>
          </w:p>
        </w:tc>
      </w:tr>
      <w:tr>
        <w:tc>
          <w:tcPr>
            <w:tcW w:type="dxa" w:w="14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07B85"/>
                <w:sz w:val="20"/>
                <w:szCs w:val="20"/>
              </w:rPr>
              <w:t xml:space="preserve">JA24.3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Severe pre-eclampsia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BP ≥ 160/110 + symptoms (headache, oedema)</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Critical flag, emergency referral, immediate action</w:t>
            </w:r>
          </w:p>
        </w:tc>
      </w:tr>
      <w:tr>
        <w:tc>
          <w:tcPr>
            <w:tcW w:type="dxa" w:w="14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07B85"/>
                <w:sz w:val="20"/>
                <w:szCs w:val="20"/>
              </w:rPr>
              <w:t xml:space="preserve">JA42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Gestational anaemia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Hb &lt; 11 g/dL (1st/3rd trimester), &lt; 10.5 (2nd)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Moderate flag, iron/folate protocol, dietary advice</w:t>
            </w:r>
          </w:p>
        </w:tc>
      </w:tr>
      <w:tr>
        <w:tc>
          <w:tcPr>
            <w:tcW w:type="dxa" w:w="14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07B85"/>
                <w:sz w:val="20"/>
                <w:szCs w:val="20"/>
              </w:rPr>
              <w:t xml:space="preserve">JA43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Severe anaemia in pregnancy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Hb &lt; 7 g/dL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High risk flag, transfusion consideration, referral</w:t>
            </w:r>
          </w:p>
        </w:tc>
      </w:tr>
      <w:tr>
        <w:tc>
          <w:tcPr>
            <w:tcW w:type="dxa" w:w="14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07B85"/>
                <w:sz w:val="20"/>
                <w:szCs w:val="20"/>
              </w:rPr>
              <w:t xml:space="preserve">JA60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Placenta praevia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Previous CS + low-lying placenta history + bleeding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Critical flag, no vaginal exam, emergency referral</w:t>
            </w:r>
          </w:p>
        </w:tc>
      </w:tr>
      <w:tr>
        <w:tc>
          <w:tcPr>
            <w:tcW w:type="dxa" w:w="14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07B85"/>
                <w:sz w:val="20"/>
                <w:szCs w:val="20"/>
              </w:rPr>
              <w:t xml:space="preserve">JA65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Fetal growth restriction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Fundal height &lt; gestational age by &gt;3cm on serial measure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High risk flag, ultrasound referral, monitoring protocol</w:t>
            </w:r>
          </w:p>
        </w:tc>
      </w:tr>
      <w:tr>
        <w:tc>
          <w:tcPr>
            <w:tcW w:type="dxa" w:w="14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07B85"/>
                <w:sz w:val="20"/>
                <w:szCs w:val="20"/>
              </w:rPr>
              <w:t xml:space="preserve">1A44.Z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Malaria in pregnancy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Confirmed malaria status flagged in intake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Moderate-High flag, treatment protocol, monitoring</w:t>
            </w:r>
          </w:p>
        </w:tc>
      </w:tr>
      <w:tr>
        <w:tc>
          <w:tcPr>
            <w:tcW w:type="dxa" w:w="14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07B85"/>
                <w:sz w:val="20"/>
                <w:szCs w:val="20"/>
              </w:rPr>
              <w:t xml:space="preserve">1C62.Z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HIV in pregnancy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HIV positive status in record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PMTCT protocol trigger, ART adherence reminder</w:t>
            </w:r>
          </w:p>
        </w:tc>
      </w:tr>
    </w:tbl>
    <w:p>
      <w:pPr>
        <w:spacing w:before="200" w:after="0"/>
      </w:pPr>
      <w:r>
        <w:t xml:space="preserve"/>
      </w:r>
    </w:p>
    <w:p>
      <w:pPr>
        <w:pStyle w:val="Heading1"/>
        <w:pBdr>
          <w:bottom w:val="single" w:color="007B85" w:sz="4" w:space="6"/>
        </w:pBdr>
        <w:spacing w:before="400" w:after="200"/>
      </w:pPr>
      <w:r>
        <w:rPr>
          <w:rFonts w:ascii="Arial" w:cs="Arial" w:eastAsia="Arial" w:hAnsi="Arial"/>
          <w:b/>
          <w:bCs/>
          <w:color w:val="007B85"/>
          <w:sz w:val="32"/>
          <w:szCs w:val="32"/>
        </w:rPr>
        <w:t xml:space="preserve">5. Data Input Variables</w:t>
      </w:r>
    </w:p>
    <w:p>
      <w:pPr>
        <w:spacing w:before="80" w:after="80"/>
      </w:pPr>
      <w:r>
        <w:rPr>
          <w:rFonts w:ascii="Arial" w:cs="Arial" w:eastAsia="Arial" w:hAnsi="Arial"/>
          <w:color w:val="1A1A2E"/>
          <w:sz w:val="22"/>
          <w:szCs w:val="22"/>
        </w:rPr>
        <w:t xml:space="preserve">The following variables are collected as part of routine ANC practice and serve as inputs to the Abiyamo risk model. No additional data collection is required.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rPr>
          <w:tblHeader/>
        </w:trPr>
        <w:tc>
          <w:tcPr>
            <w:tcW w:type="dxa" w:w="2400"/>
            <w:tcBorders>
              <w:top w:val="single" w:color="CCCCCC" w:sz="1"/>
              <w:left w:val="single" w:color="CCCCCC" w:sz="1"/>
              <w:bottom w:val="single" w:color="CCCCCC" w:sz="1"/>
              <w:right w:val="single" w:color="CCCCCC" w:sz="1"/>
            </w:tcBorders>
            <w:shd w:fill="007B85"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400"/>
            <w:tcBorders>
              <w:top w:val="single" w:color="CCCCCC" w:sz="1"/>
              <w:left w:val="single" w:color="CCCCCC" w:sz="1"/>
              <w:bottom w:val="single" w:color="CCCCCC" w:sz="1"/>
              <w:right w:val="single" w:color="CCCCCC" w:sz="1"/>
            </w:tcBorders>
            <w:shd w:fill="007B8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60"/>
            <w:tcBorders>
              <w:top w:val="single" w:color="CCCCCC" w:sz="1"/>
              <w:left w:val="single" w:color="CCCCCC" w:sz="1"/>
              <w:bottom w:val="single" w:color="CCCCCC" w:sz="1"/>
              <w:right w:val="single" w:color="CCCCCC" w:sz="1"/>
            </w:tcBorders>
            <w:shd w:fill="007B85"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007B85" w:val="clear"/>
            <w:tcMar>
              <w:top w:type="dxa" w:w="80"/>
              <w:left w:type="dxa" w:w="120"/>
              <w:bottom w:type="dxa" w:w="80"/>
              <w:right w:type="dxa" w:w="120"/>
            </w:tcMar>
          </w:tcPr>
          <w:p>
            <w:r>
              <w:rPr>
                <w:rFonts w:ascii="Arial" w:cs="Arial" w:eastAsia="Arial" w:hAnsi="Arial"/>
                <w:b/>
                <w:bCs/>
                <w:color w:val="FFFFFF"/>
                <w:sz w:val="20"/>
                <w:szCs w:val="20"/>
              </w:rPr>
              <w:t xml:space="preserve">Clinical Relevance</w:t>
            </w:r>
          </w:p>
        </w:tc>
      </w:tr>
      <w:tr>
        <w:tc>
          <w:tcPr>
            <w:tcW w:type="dxa" w:w="24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1A1A2E"/>
                <w:sz w:val="20"/>
                <w:szCs w:val="20"/>
              </w:rPr>
              <w:t xml:space="preserve">Blood Pressure (SBP/DBP)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Numerical (mmHg)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Clinic measurement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Hypertension, pre-eclampsia screening</w:t>
            </w:r>
          </w:p>
        </w:tc>
      </w:tr>
      <w:tr>
        <w:tc>
          <w:tcPr>
            <w:tcW w:type="dxa" w:w="24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1A1A2E"/>
                <w:sz w:val="20"/>
                <w:szCs w:val="20"/>
              </w:rPr>
              <w:t xml:space="preserve">Hemoglobin Level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Numerical (g/dL)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Lab result / RDT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Anaemia classification and severity</w:t>
            </w:r>
          </w:p>
        </w:tc>
      </w:tr>
      <w:tr>
        <w:tc>
          <w:tcPr>
            <w:tcW w:type="dxa" w:w="24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1A1A2E"/>
                <w:sz w:val="20"/>
                <w:szCs w:val="20"/>
              </w:rPr>
              <w:t xml:space="preserve">Gestational 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Numerical (weeks)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LMP or ultrasound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Risk calibration, growth assessment</w:t>
            </w:r>
          </w:p>
        </w:tc>
      </w:tr>
      <w:tr>
        <w:tc>
          <w:tcPr>
            <w:tcW w:type="dxa" w:w="24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1A1A2E"/>
                <w:sz w:val="20"/>
                <w:szCs w:val="20"/>
              </w:rPr>
              <w:t xml:space="preserve">Fundal Height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Numerical (cm)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Clinic measurement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Fetal growth restriction detection</w:t>
            </w:r>
          </w:p>
        </w:tc>
      </w:tr>
      <w:tr>
        <w:tc>
          <w:tcPr>
            <w:tcW w:type="dxa" w:w="24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1A1A2E"/>
                <w:sz w:val="20"/>
                <w:szCs w:val="20"/>
              </w:rPr>
              <w:t xml:space="preserve">BMI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Numerical (kg/m²)</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Weight + Height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Obesity risk, GDM screening</w:t>
            </w:r>
          </w:p>
        </w:tc>
      </w:tr>
      <w:tr>
        <w:tc>
          <w:tcPr>
            <w:tcW w:type="dxa" w:w="24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1A1A2E"/>
                <w:sz w:val="20"/>
                <w:szCs w:val="20"/>
              </w:rPr>
              <w:t xml:space="preserve">Urine Protein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Categorical (neg/1+/2+/3+)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Dipstick test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Pre-eclampsia diagnosis</w:t>
            </w:r>
          </w:p>
        </w:tc>
      </w:tr>
      <w:tr>
        <w:tc>
          <w:tcPr>
            <w:tcW w:type="dxa" w:w="24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1A1A2E"/>
                <w:sz w:val="20"/>
                <w:szCs w:val="20"/>
              </w:rPr>
              <w:t xml:space="preserve">HIV Status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Binary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ANC test record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PMTCT protocol trigger</w:t>
            </w:r>
          </w:p>
        </w:tc>
      </w:tr>
      <w:tr>
        <w:tc>
          <w:tcPr>
            <w:tcW w:type="dxa" w:w="24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1A1A2E"/>
                <w:sz w:val="20"/>
                <w:szCs w:val="20"/>
              </w:rPr>
              <w:t xml:space="preserve">Malaria Status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Binary/Categorical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RDT or lab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Treatment and monitoring protocol</w:t>
            </w:r>
          </w:p>
        </w:tc>
      </w:tr>
      <w:tr>
        <w:tc>
          <w:tcPr>
            <w:tcW w:type="dxa" w:w="24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1A1A2E"/>
                <w:sz w:val="20"/>
                <w:szCs w:val="20"/>
              </w:rPr>
              <w:t xml:space="preserve">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Numerical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Obstetric 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Grand multiparity risk, previous complications</w:t>
            </w:r>
          </w:p>
        </w:tc>
      </w:tr>
      <w:tr>
        <w:tc>
          <w:tcPr>
            <w:tcW w:type="dxa" w:w="24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1A1A2E"/>
                <w:sz w:val="20"/>
                <w:szCs w:val="20"/>
              </w:rPr>
              <w:t xml:space="preserve">Previous 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Binary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Obstetric 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Placenta praevia, uterine rupture risk</w:t>
            </w:r>
          </w:p>
        </w:tc>
      </w:tr>
      <w:tr>
        <w:tc>
          <w:tcPr>
            <w:tcW w:type="dxa" w:w="24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1A1A2E"/>
                <w:sz w:val="20"/>
                <w:szCs w:val="20"/>
              </w:rPr>
              <w:t xml:space="preserve">Previous Pregnancy Loss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Binary / Count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Obstetric 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Recurrent loss risk profiling</w:t>
            </w:r>
          </w:p>
        </w:tc>
      </w:tr>
      <w:tr>
        <w:tc>
          <w:tcPr>
            <w:tcW w:type="dxa" w:w="24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1A1A2E"/>
                <w:sz w:val="20"/>
                <w:szCs w:val="20"/>
              </w:rPr>
              <w:t xml:space="preserve">Presenting Symptoms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Multi-select categorical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Symptom checklist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Pre-eclampsia, APH, IUGR, infection flags</w:t>
            </w:r>
          </w:p>
        </w:tc>
      </w:tr>
    </w:tbl>
    <w:p>
      <w:pPr>
        <w:spacing w:before="200" w:after="0"/>
      </w:pPr>
      <w:r>
        <w:t xml:space="preserve"/>
      </w:r>
    </w:p>
    <w:p>
      <w:pPr>
        <w:pStyle w:val="Heading1"/>
        <w:pBdr>
          <w:bottom w:val="single" w:color="007B85" w:sz="4" w:space="6"/>
        </w:pBdr>
        <w:spacing w:before="400" w:after="200"/>
      </w:pPr>
      <w:r>
        <w:rPr>
          <w:rFonts w:ascii="Arial" w:cs="Arial" w:eastAsia="Arial" w:hAnsi="Arial"/>
          <w:b/>
          <w:bCs/>
          <w:color w:val="007B85"/>
          <w:sz w:val="32"/>
          <w:szCs w:val="32"/>
        </w:rPr>
        <w:t xml:space="preserve">6. System Users and Use Cases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shd w:fill="E0F4F5" w:val="clear"/>
            <w:tcMar>
              <w:top w:type="dxa" w:w="160"/>
              <w:left w:type="dxa" w:w="200"/>
              <w:bottom w:type="dxa" w:w="160"/>
              <w:right w:type="dxa" w:w="200"/>
            </w:tcMar>
          </w:tcPr>
          <w:p>
            <w:pPr>
              <w:spacing w:before="40" w:after="100"/>
            </w:pPr>
            <w:r>
              <w:rPr>
                <w:rFonts w:ascii="Arial" w:cs="Arial" w:eastAsia="Arial" w:hAnsi="Arial"/>
                <w:b/>
                <w:bCs/>
                <w:color w:val="007B85"/>
                <w:sz w:val="22"/>
                <w:szCs w:val="22"/>
              </w:rPr>
              <w:t xml:space="preserve">Nurse / Midwife / CHO</w:t>
            </w:r>
          </w:p>
          <w:p>
            <w:pPr>
              <w:pStyle w:val="ListParagraph"/>
              <w:numPr>
                <w:ilvl w:val="0"/>
                <w:numId w:val="2"/>
              </w:numPr>
              <w:spacing w:before="60" w:after="60"/>
            </w:pPr>
            <w:r>
              <w:rPr>
                <w:rFonts w:ascii="Arial" w:cs="Arial" w:eastAsia="Arial" w:hAnsi="Arial"/>
                <w:b w:val="false"/>
                <w:bCs w:val="false"/>
                <w:color w:val="1A1A2E"/>
                <w:sz w:val="22"/>
                <w:szCs w:val="22"/>
              </w:rPr>
              <w:t xml:space="preserve">Opens Abiyamo at point of ANC contact</w:t>
            </w:r>
          </w:p>
          <w:p>
            <w:pPr>
              <w:pStyle w:val="ListParagraph"/>
              <w:numPr>
                <w:ilvl w:val="0"/>
                <w:numId w:val="2"/>
              </w:numPr>
              <w:spacing w:before="60" w:after="60"/>
            </w:pPr>
            <w:r>
              <w:rPr>
                <w:rFonts w:ascii="Arial" w:cs="Arial" w:eastAsia="Arial" w:hAnsi="Arial"/>
                <w:b w:val="false"/>
                <w:bCs w:val="false"/>
                <w:color w:val="1A1A2E"/>
                <w:sz w:val="22"/>
                <w:szCs w:val="22"/>
              </w:rPr>
              <w:t xml:space="preserve">Enters or confirms patient data from register</w:t>
            </w:r>
          </w:p>
          <w:p>
            <w:pPr>
              <w:pStyle w:val="ListParagraph"/>
              <w:numPr>
                <w:ilvl w:val="0"/>
                <w:numId w:val="2"/>
              </w:numPr>
              <w:spacing w:before="60" w:after="60"/>
            </w:pPr>
            <w:r>
              <w:rPr>
                <w:rFonts w:ascii="Arial" w:cs="Arial" w:eastAsia="Arial" w:hAnsi="Arial"/>
                <w:b w:val="false"/>
                <w:bCs w:val="false"/>
                <w:color w:val="1A1A2E"/>
                <w:sz w:val="22"/>
                <w:szCs w:val="22"/>
              </w:rPr>
              <w:t xml:space="preserve">Receives instant risk output and action guide</w:t>
            </w:r>
          </w:p>
          <w:p>
            <w:pPr>
              <w:pStyle w:val="ListParagraph"/>
              <w:numPr>
                <w:ilvl w:val="0"/>
                <w:numId w:val="2"/>
              </w:numPr>
              <w:spacing w:before="60" w:after="60"/>
            </w:pPr>
            <w:r>
              <w:rPr>
                <w:rFonts w:ascii="Arial" w:cs="Arial" w:eastAsia="Arial" w:hAnsi="Arial"/>
                <w:b w:val="false"/>
                <w:bCs w:val="false"/>
                <w:color w:val="1A1A2E"/>
                <w:sz w:val="22"/>
                <w:szCs w:val="22"/>
              </w:rPr>
              <w:t xml:space="preserve">Documents referral or management decision</w:t>
            </w:r>
          </w:p>
          <w:p>
            <w:pPr>
              <w:pStyle w:val="ListParagraph"/>
              <w:numPr>
                <w:ilvl w:val="0"/>
                <w:numId w:val="2"/>
              </w:numPr>
              <w:spacing w:before="60" w:after="60"/>
            </w:pPr>
            <w:r>
              <w:rPr>
                <w:rFonts w:ascii="Arial" w:cs="Arial" w:eastAsia="Arial" w:hAnsi="Arial"/>
                <w:b w:val="false"/>
                <w:bCs w:val="false"/>
                <w:color w:val="1A1A2E"/>
                <w:sz w:val="22"/>
                <w:szCs w:val="22"/>
              </w:rPr>
              <w:t xml:space="preserve">No additional workload beyond normal ANC recording</w:t>
            </w:r>
          </w:p>
        </w:tc>
        <w:tc>
          <w:tcPr>
            <w:tcW w:type="dxa" w:w="4620"/>
            <w:tcBorders>
              <w:top w:val="none" w:color="FFFFFF" w:sz="0"/>
              <w:left w:val="none" w:color="FFFFFF" w:sz="0"/>
              <w:bottom w:val="none" w:color="FFFFFF" w:sz="0"/>
              <w:right w:val="none" w:color="FFFFFF" w:sz="0"/>
            </w:tcBorders>
            <w:shd w:fill="FEF0E6" w:val="clear"/>
            <w:tcMar>
              <w:top w:type="dxa" w:w="160"/>
              <w:left w:type="dxa" w:w="200"/>
              <w:bottom w:type="dxa" w:w="160"/>
              <w:right w:type="dxa" w:w="200"/>
            </w:tcMar>
          </w:tcPr>
          <w:p>
            <w:pPr>
              <w:spacing w:before="40" w:after="100"/>
            </w:pPr>
            <w:r>
              <w:rPr>
                <w:rFonts w:ascii="Arial" w:cs="Arial" w:eastAsia="Arial" w:hAnsi="Arial"/>
                <w:b/>
                <w:bCs/>
                <w:color w:val="E8620A"/>
                <w:sz w:val="22"/>
                <w:szCs w:val="22"/>
              </w:rPr>
              <w:t xml:space="preserve">Pregnant Mother / Family</w:t>
            </w:r>
          </w:p>
          <w:p>
            <w:pPr>
              <w:pStyle w:val="ListParagraph"/>
              <w:numPr>
                <w:ilvl w:val="0"/>
                <w:numId w:val="2"/>
              </w:numPr>
              <w:spacing w:before="60" w:after="60"/>
            </w:pPr>
            <w:r>
              <w:rPr>
                <w:rFonts w:ascii="Arial" w:cs="Arial" w:eastAsia="Arial" w:hAnsi="Arial"/>
                <w:b w:val="false"/>
                <w:bCs w:val="false"/>
                <w:color w:val="1A1A2E"/>
                <w:sz w:val="22"/>
                <w:szCs w:val="22"/>
              </w:rPr>
              <w:t xml:space="preserve">Registered at first ANC contact via phone number</w:t>
            </w:r>
          </w:p>
          <w:p>
            <w:pPr>
              <w:pStyle w:val="ListParagraph"/>
              <w:numPr>
                <w:ilvl w:val="0"/>
                <w:numId w:val="2"/>
              </w:numPr>
              <w:spacing w:before="60" w:after="60"/>
            </w:pPr>
            <w:r>
              <w:rPr>
                <w:rFonts w:ascii="Arial" w:cs="Arial" w:eastAsia="Arial" w:hAnsi="Arial"/>
                <w:b w:val="false"/>
                <w:bCs w:val="false"/>
                <w:color w:val="1A1A2E"/>
                <w:sz w:val="22"/>
                <w:szCs w:val="22"/>
              </w:rPr>
              <w:t xml:space="preserve">Receives WhatsApp messages in preferred language</w:t>
            </w:r>
          </w:p>
          <w:p>
            <w:pPr>
              <w:pStyle w:val="ListParagraph"/>
              <w:numPr>
                <w:ilvl w:val="0"/>
                <w:numId w:val="2"/>
              </w:numPr>
              <w:spacing w:before="60" w:after="60"/>
            </w:pPr>
            <w:r>
              <w:rPr>
                <w:rFonts w:ascii="Arial" w:cs="Arial" w:eastAsia="Arial" w:hAnsi="Arial"/>
                <w:b w:val="false"/>
                <w:bCs w:val="false"/>
                <w:color w:val="1A1A2E"/>
                <w:sz w:val="22"/>
                <w:szCs w:val="22"/>
              </w:rPr>
              <w:t xml:space="preserve">Gets appointment reminders and danger sign alerts</w:t>
            </w:r>
          </w:p>
          <w:p>
            <w:pPr>
              <w:pStyle w:val="ListParagraph"/>
              <w:numPr>
                <w:ilvl w:val="0"/>
                <w:numId w:val="2"/>
              </w:numPr>
              <w:spacing w:before="60" w:after="60"/>
            </w:pPr>
            <w:r>
              <w:rPr>
                <w:rFonts w:ascii="Arial" w:cs="Arial" w:eastAsia="Arial" w:hAnsi="Arial"/>
                <w:b w:val="false"/>
                <w:bCs w:val="false"/>
                <w:color w:val="1A1A2E"/>
                <w:sz w:val="22"/>
                <w:szCs w:val="22"/>
              </w:rPr>
              <w:t xml:space="preserve">Receives personalised nutrition and newborn care tips</w:t>
            </w:r>
          </w:p>
          <w:p>
            <w:pPr>
              <w:pStyle w:val="ListParagraph"/>
              <w:numPr>
                <w:ilvl w:val="0"/>
                <w:numId w:val="2"/>
              </w:numPr>
              <w:spacing w:before="60" w:after="60"/>
            </w:pPr>
            <w:r>
              <w:rPr>
                <w:rFonts w:ascii="Arial" w:cs="Arial" w:eastAsia="Arial" w:hAnsi="Arial"/>
                <w:b w:val="false"/>
                <w:bCs w:val="false"/>
                <w:color w:val="1A1A2E"/>
                <w:sz w:val="22"/>
                <w:szCs w:val="22"/>
              </w:rPr>
              <w:t xml:space="preserve">Can self-report symptoms via WhatsApp chatbot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shd w:fill="E0F4F5" w:val="clear"/>
            <w:tcMar>
              <w:top w:type="dxa" w:w="160"/>
              <w:left w:type="dxa" w:w="200"/>
              <w:bottom w:type="dxa" w:w="160"/>
              <w:right w:type="dxa" w:w="200"/>
            </w:tcMar>
          </w:tcPr>
          <w:p>
            <w:pPr>
              <w:spacing w:before="40" w:after="100"/>
            </w:pPr>
            <w:r>
              <w:rPr>
                <w:rFonts w:ascii="Arial" w:cs="Arial" w:eastAsia="Arial" w:hAnsi="Arial"/>
                <w:b/>
                <w:bCs/>
                <w:color w:val="007B85"/>
                <w:sz w:val="22"/>
                <w:szCs w:val="22"/>
              </w:rPr>
              <w:t xml:space="preserve">Facility Manager</w:t>
            </w:r>
          </w:p>
          <w:p>
            <w:pPr>
              <w:pStyle w:val="ListParagraph"/>
              <w:numPr>
                <w:ilvl w:val="0"/>
                <w:numId w:val="2"/>
              </w:numPr>
              <w:spacing w:before="60" w:after="60"/>
            </w:pPr>
            <w:r>
              <w:rPr>
                <w:rFonts w:ascii="Arial" w:cs="Arial" w:eastAsia="Arial" w:hAnsi="Arial"/>
                <w:b w:val="false"/>
                <w:bCs w:val="false"/>
                <w:color w:val="1A1A2E"/>
                <w:sz w:val="22"/>
                <w:szCs w:val="22"/>
              </w:rPr>
              <w:t xml:space="preserve">Views aggregate risk dashboard for facility</w:t>
            </w:r>
          </w:p>
          <w:p>
            <w:pPr>
              <w:pStyle w:val="ListParagraph"/>
              <w:numPr>
                <w:ilvl w:val="0"/>
                <w:numId w:val="2"/>
              </w:numPr>
              <w:spacing w:before="60" w:after="60"/>
            </w:pPr>
            <w:r>
              <w:rPr>
                <w:rFonts w:ascii="Arial" w:cs="Arial" w:eastAsia="Arial" w:hAnsi="Arial"/>
                <w:b w:val="false"/>
                <w:bCs w:val="false"/>
                <w:color w:val="1A1A2E"/>
                <w:sz w:val="22"/>
                <w:szCs w:val="22"/>
              </w:rPr>
              <w:t xml:space="preserve">Tracks referral compliance and outcomes</w:t>
            </w:r>
          </w:p>
          <w:p>
            <w:pPr>
              <w:pStyle w:val="ListParagraph"/>
              <w:numPr>
                <w:ilvl w:val="0"/>
                <w:numId w:val="2"/>
              </w:numPr>
              <w:spacing w:before="60" w:after="60"/>
            </w:pPr>
            <w:r>
              <w:rPr>
                <w:rFonts w:ascii="Arial" w:cs="Arial" w:eastAsia="Arial" w:hAnsi="Arial"/>
                <w:b w:val="false"/>
                <w:bCs w:val="false"/>
                <w:color w:val="1A1A2E"/>
                <w:sz w:val="22"/>
                <w:szCs w:val="22"/>
              </w:rPr>
              <w:t xml:space="preserve">Monitors ANC quality indicators over time</w:t>
            </w:r>
          </w:p>
          <w:p>
            <w:pPr>
              <w:pStyle w:val="ListParagraph"/>
              <w:numPr>
                <w:ilvl w:val="0"/>
                <w:numId w:val="2"/>
              </w:numPr>
              <w:spacing w:before="60" w:after="60"/>
            </w:pPr>
            <w:r>
              <w:rPr>
                <w:rFonts w:ascii="Arial" w:cs="Arial" w:eastAsia="Arial" w:hAnsi="Arial"/>
                <w:b w:val="false"/>
                <w:bCs w:val="false"/>
                <w:color w:val="1A1A2E"/>
                <w:sz w:val="22"/>
                <w:szCs w:val="22"/>
              </w:rPr>
              <w:t xml:space="preserve">Receives alerts for high-risk case clusters</w:t>
            </w:r>
          </w:p>
        </w:tc>
        <w:tc>
          <w:tcPr>
            <w:tcW w:type="dxa" w:w="4620"/>
            <w:tcBorders>
              <w:top w:val="none" w:color="FFFFFF" w:sz="0"/>
              <w:left w:val="none" w:color="FFFFFF" w:sz="0"/>
              <w:bottom w:val="none" w:color="FFFFFF" w:sz="0"/>
              <w:right w:val="none" w:color="FFFFFF" w:sz="0"/>
            </w:tcBorders>
            <w:shd w:fill="FEF0E6" w:val="clear"/>
            <w:tcMar>
              <w:top w:type="dxa" w:w="160"/>
              <w:left w:type="dxa" w:w="200"/>
              <w:bottom w:type="dxa" w:w="160"/>
              <w:right w:type="dxa" w:w="200"/>
            </w:tcMar>
          </w:tcPr>
          <w:p>
            <w:pPr>
              <w:spacing w:before="40" w:after="100"/>
            </w:pPr>
            <w:r>
              <w:rPr>
                <w:rFonts w:ascii="Arial" w:cs="Arial" w:eastAsia="Arial" w:hAnsi="Arial"/>
                <w:b/>
                <w:bCs/>
                <w:color w:val="E8620A"/>
                <w:sz w:val="22"/>
                <w:szCs w:val="22"/>
              </w:rPr>
              <w:t xml:space="preserve">State / LGA Health Authorities</w:t>
            </w:r>
          </w:p>
          <w:p>
            <w:pPr>
              <w:pStyle w:val="ListParagraph"/>
              <w:numPr>
                <w:ilvl w:val="0"/>
                <w:numId w:val="2"/>
              </w:numPr>
              <w:spacing w:before="60" w:after="60"/>
            </w:pPr>
            <w:r>
              <w:rPr>
                <w:rFonts w:ascii="Arial" w:cs="Arial" w:eastAsia="Arial" w:hAnsi="Arial"/>
                <w:b w:val="false"/>
                <w:bCs w:val="false"/>
                <w:color w:val="1A1A2E"/>
                <w:sz w:val="22"/>
                <w:szCs w:val="22"/>
              </w:rPr>
              <w:t xml:space="preserve">Access aggregated anonymised population risk data</w:t>
            </w:r>
          </w:p>
          <w:p>
            <w:pPr>
              <w:pStyle w:val="ListParagraph"/>
              <w:numPr>
                <w:ilvl w:val="0"/>
                <w:numId w:val="2"/>
              </w:numPr>
              <w:spacing w:before="60" w:after="60"/>
            </w:pPr>
            <w:r>
              <w:rPr>
                <w:rFonts w:ascii="Arial" w:cs="Arial" w:eastAsia="Arial" w:hAnsi="Arial"/>
                <w:b w:val="false"/>
                <w:bCs w:val="false"/>
                <w:color w:val="1A1A2E"/>
                <w:sz w:val="22"/>
                <w:szCs w:val="22"/>
              </w:rPr>
              <w:t xml:space="preserve">Track maternal health performance across facilities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Inform resource allocation and referral pathway planning</w:t>
            </w:r>
          </w:p>
          <w:p>
            <w:pPr>
              <w:pStyle w:val="ListParagraph"/>
              <w:numPr>
                <w:ilvl w:val="0"/>
                <w:numId w:val="2"/>
              </w:numPr>
              <w:spacing w:before="60" w:after="60"/>
            </w:pPr>
            <w:r>
              <w:rPr>
                <w:rFonts w:ascii="Arial" w:cs="Arial" w:eastAsia="Arial" w:hAnsi="Arial"/>
                <w:b w:val="false"/>
                <w:bCs w:val="false"/>
                <w:color w:val="1A1A2E"/>
                <w:sz w:val="22"/>
                <w:szCs w:val="22"/>
              </w:rPr>
              <w:t xml:space="preserve">Support DHIS2 and NHMIS reporting integration</w:t>
            </w:r>
          </w:p>
        </w:tc>
      </w:tr>
    </w:tbl>
    <w:p>
      <w:pPr>
        <w:spacing w:before="200" w:after="0"/>
      </w:pPr>
      <w:r>
        <w:t xml:space="preserve"/>
      </w:r>
    </w:p>
    <w:p>
      <w:pPr>
        <w:pStyle w:val="Heading1"/>
        <w:pBdr>
          <w:bottom w:val="single" w:color="007B85" w:sz="4" w:space="6"/>
        </w:pBdr>
        <w:spacing w:before="400" w:after="200"/>
      </w:pPr>
      <w:r>
        <w:rPr>
          <w:rFonts w:ascii="Arial" w:cs="Arial" w:eastAsia="Arial" w:hAnsi="Arial"/>
          <w:b/>
          <w:bCs/>
          <w:color w:val="007B85"/>
          <w:sz w:val="32"/>
          <w:szCs w:val="32"/>
        </w:rPr>
        <w:t xml:space="preserve">7. Data Flow Architecture</w:t>
      </w:r>
    </w:p>
    <w:p>
      <w:pPr>
        <w:spacing w:before="80" w:after="0"/>
      </w:pPr>
      <w:r>
        <w:t xml:space="preserve"/>
      </w:r>
    </w:p>
    <w:p>
      <w:pPr>
        <w:spacing w:before="80" w:after="80"/>
      </w:pPr>
      <w:r>
        <w:rPr>
          <w:rFonts w:ascii="Arial" w:cs="Arial" w:eastAsia="Arial" w:hAnsi="Arial"/>
          <w:color w:val="1A1A2E"/>
          <w:sz w:val="22"/>
          <w:szCs w:val="22"/>
        </w:rPr>
        <w:t xml:space="preserve">The following describes the end-to-end data flow for the Clinic Risk Scoring layer.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07B8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A</w:t>
            </w:r>
          </w:p>
        </w:tc>
        <w:tc>
          <w:tcPr>
            <w:tcW w:type="dxa" w:w="84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20" w:after="40"/>
            </w:pPr>
            <w:r>
              <w:rPr>
                <w:rFonts w:ascii="Arial" w:cs="Arial" w:eastAsia="Arial" w:hAnsi="Arial"/>
                <w:b/>
                <w:bCs/>
                <w:color w:val="1A1A2E"/>
                <w:sz w:val="22"/>
                <w:szCs w:val="22"/>
              </w:rPr>
              <w:t xml:space="preserve">Data Entry</w:t>
            </w:r>
          </w:p>
          <w:p>
            <w:r>
              <w:rPr>
                <w:rFonts w:ascii="Arial" w:cs="Arial" w:eastAsia="Arial" w:hAnsi="Arial"/>
                <w:color w:val="555555"/>
                <w:sz w:val="20"/>
                <w:szCs w:val="20"/>
              </w:rPr>
              <w:t xml:space="preserve">Nurse enters ANC variables via Abiyamo interface OR data is pulled automatically from facility EMR via API (DHIS2, NHMIS-compatible)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07B8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B</w:t>
            </w:r>
          </w:p>
        </w:tc>
        <w:tc>
          <w:tcPr>
            <w:tcW w:type="dxa" w:w="84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20" w:after="40"/>
            </w:pPr>
            <w:r>
              <w:rPr>
                <w:rFonts w:ascii="Arial" w:cs="Arial" w:eastAsia="Arial" w:hAnsi="Arial"/>
                <w:b/>
                <w:bCs/>
                <w:color w:val="1A1A2E"/>
                <w:sz w:val="22"/>
                <w:szCs w:val="22"/>
              </w:rPr>
              <w:t xml:space="preserve">Pre-processing</w:t>
            </w:r>
          </w:p>
          <w:p>
            <w:r>
              <w:rPr>
                <w:rFonts w:ascii="Arial" w:cs="Arial" w:eastAsia="Arial" w:hAnsi="Arial"/>
                <w:color w:val="555555"/>
                <w:sz w:val="20"/>
                <w:szCs w:val="20"/>
              </w:rPr>
              <w:t xml:space="preserve">Input validation and normalisation. Missing value handling (imputation or flag). Data formatted for model input.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07B8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C</w:t>
            </w:r>
          </w:p>
        </w:tc>
        <w:tc>
          <w:tcPr>
            <w:tcW w:type="dxa" w:w="84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20" w:after="40"/>
            </w:pPr>
            <w:r>
              <w:rPr>
                <w:rFonts w:ascii="Arial" w:cs="Arial" w:eastAsia="Arial" w:hAnsi="Arial"/>
                <w:b/>
                <w:bCs/>
                <w:color w:val="1A1A2E"/>
                <w:sz w:val="22"/>
                <w:szCs w:val="22"/>
              </w:rPr>
              <w:t xml:space="preserve">Rule Engine Check</w:t>
            </w:r>
          </w:p>
          <w:p>
            <w:r>
              <w:rPr>
                <w:rFonts w:ascii="Arial" w:cs="Arial" w:eastAsia="Arial" w:hAnsi="Arial"/>
                <w:color w:val="555555"/>
                <w:sz w:val="20"/>
                <w:szCs w:val="20"/>
              </w:rPr>
              <w:t xml:space="preserve">Clinical threshold rules applied first. Any critical threshold breach immediately flags the case at the appropriate severity level before ML model runs.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07B8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D</w:t>
            </w:r>
          </w:p>
        </w:tc>
        <w:tc>
          <w:tcPr>
            <w:tcW w:type="dxa" w:w="84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20" w:after="40"/>
            </w:pPr>
            <w:r>
              <w:rPr>
                <w:rFonts w:ascii="Arial" w:cs="Arial" w:eastAsia="Arial" w:hAnsi="Arial"/>
                <w:b/>
                <w:bCs/>
                <w:color w:val="1A1A2E"/>
                <w:sz w:val="22"/>
                <w:szCs w:val="22"/>
              </w:rPr>
              <w:t xml:space="preserve">ML Model Inference</w:t>
            </w:r>
          </w:p>
          <w:p>
            <w:r>
              <w:rPr>
                <w:rFonts w:ascii="Arial" w:cs="Arial" w:eastAsia="Arial" w:hAnsi="Arial"/>
                <w:color w:val="555555"/>
                <w:sz w:val="20"/>
                <w:szCs w:val="20"/>
              </w:rPr>
              <w:t xml:space="preserve">Gradient boosted classifier scores overall obstetric risk. Output is a probability vector across risk categories (Low / Moderate / High / Critical).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07B8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E</w:t>
            </w:r>
          </w:p>
        </w:tc>
        <w:tc>
          <w:tcPr>
            <w:tcW w:type="dxa" w:w="84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20" w:after="40"/>
            </w:pPr>
            <w:r>
              <w:rPr>
                <w:rFonts w:ascii="Arial" w:cs="Arial" w:eastAsia="Arial" w:hAnsi="Arial"/>
                <w:b/>
                <w:bCs/>
                <w:color w:val="1A1A2E"/>
                <w:sz w:val="22"/>
                <w:szCs w:val="22"/>
              </w:rPr>
              <w:t xml:space="preserve">ICD Mapping</w:t>
            </w:r>
          </w:p>
          <w:p>
            <w:r>
              <w:rPr>
                <w:rFonts w:ascii="Arial" w:cs="Arial" w:eastAsia="Arial" w:hAnsi="Arial"/>
                <w:color w:val="555555"/>
                <w:sz w:val="20"/>
                <w:szCs w:val="20"/>
              </w:rPr>
              <w:t xml:space="preserve">Final risk output and variable profile mapped to relevant ICD-11 codes. Condition-specific guidance loaded from protocol library.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07B8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F</w:t>
            </w:r>
          </w:p>
        </w:tc>
        <w:tc>
          <w:tcPr>
            <w:tcW w:type="dxa" w:w="84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20" w:after="40"/>
            </w:pPr>
            <w:r>
              <w:rPr>
                <w:rFonts w:ascii="Arial" w:cs="Arial" w:eastAsia="Arial" w:hAnsi="Arial"/>
                <w:b/>
                <w:bCs/>
                <w:color w:val="1A1A2E"/>
                <w:sz w:val="22"/>
                <w:szCs w:val="22"/>
              </w:rPr>
              <w:t xml:space="preserve">Output Display</w:t>
            </w:r>
          </w:p>
          <w:p>
            <w:r>
              <w:rPr>
                <w:rFonts w:ascii="Arial" w:cs="Arial" w:eastAsia="Arial" w:hAnsi="Arial"/>
                <w:color w:val="555555"/>
                <w:sz w:val="20"/>
                <w:szCs w:val="20"/>
              </w:rPr>
              <w:t xml:space="preserve">Clinician sees: Risk Category, Condition Name, Danger Explanation, Immediate Actions, Referral Recommendation. ICD code stored in record for documentation.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07B8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G</w:t>
            </w:r>
          </w:p>
        </w:tc>
        <w:tc>
          <w:tcPr>
            <w:tcW w:type="dxa" w:w="84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before="20" w:after="40"/>
            </w:pPr>
            <w:r>
              <w:rPr>
                <w:rFonts w:ascii="Arial" w:cs="Arial" w:eastAsia="Arial" w:hAnsi="Arial"/>
                <w:b/>
                <w:bCs/>
                <w:color w:val="1A1A2E"/>
                <w:sz w:val="22"/>
                <w:szCs w:val="22"/>
              </w:rPr>
              <w:t xml:space="preserve">Mother Notification</w:t>
            </w:r>
          </w:p>
          <w:p>
            <w:r>
              <w:rPr>
                <w:rFonts w:ascii="Arial" w:cs="Arial" w:eastAsia="Arial" w:hAnsi="Arial"/>
                <w:color w:val="555555"/>
                <w:sz w:val="20"/>
                <w:szCs w:val="20"/>
              </w:rPr>
              <w:t xml:space="preserve">If phone number registered: WhatsApp message sent summarising visit outcome, next appointment, and personalised danger sign reminders.</w:t>
            </w:r>
          </w:p>
        </w:tc>
      </w:tr>
    </w:tbl>
    <w:p>
      <w:pPr>
        <w:spacing w:before="200" w:after="0"/>
      </w:pPr>
      <w:r>
        <w:t xml:space="preserve"/>
      </w:r>
    </w:p>
    <w:p>
      <w:pPr>
        <w:pStyle w:val="Heading1"/>
        <w:pBdr>
          <w:bottom w:val="single" w:color="007B85" w:sz="4" w:space="6"/>
        </w:pBdr>
        <w:spacing w:before="400" w:after="200"/>
      </w:pPr>
      <w:r>
        <w:rPr>
          <w:rFonts w:ascii="Arial" w:cs="Arial" w:eastAsia="Arial" w:hAnsi="Arial"/>
          <w:b/>
          <w:bCs/>
          <w:color w:val="007B85"/>
          <w:sz w:val="32"/>
          <w:szCs w:val="32"/>
        </w:rPr>
        <w:t xml:space="preserve">8. Layer 2: WhatsApp Mother Engagement</w:t>
      </w:r>
    </w:p>
    <w:p>
      <w:pPr>
        <w:spacing w:before="80" w:after="80"/>
      </w:pPr>
      <w:r>
        <w:rPr>
          <w:rFonts w:ascii="Arial" w:cs="Arial" w:eastAsia="Arial" w:hAnsi="Arial"/>
          <w:color w:val="1A1A2E"/>
          <w:sz w:val="22"/>
          <w:szCs w:val="22"/>
        </w:rPr>
        <w:t xml:space="preserve">The WhatsApp layer operates independently of but connected to the clinic risk layer. It runs on WhatsApp Business API with a simple NLP chatbot (initially rule-based, progressively ML-enhanced).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F4F5" w:val="clear"/>
            <w:tcMar>
              <w:top w:type="dxa" w:w="160"/>
              <w:left w:type="dxa" w:w="240"/>
              <w:bottom w:type="dxa" w:w="160"/>
              <w:right w:type="dxa" w:w="240"/>
            </w:tcMar>
          </w:tcPr>
          <w:p>
            <w:pPr>
              <w:spacing w:before="40" w:after="80"/>
            </w:pPr>
            <w:r>
              <w:rPr>
                <w:rFonts w:ascii="Arial" w:cs="Arial" w:eastAsia="Arial" w:hAnsi="Arial"/>
                <w:b/>
                <w:bCs/>
                <w:color w:val="007B85"/>
                <w:sz w:val="24"/>
                <w:szCs w:val="24"/>
              </w:rPr>
              <w:t xml:space="preserve">Message Types by Trimester and Stage</w:t>
            </w:r>
          </w:p>
          <w:p>
            <w:pPr>
              <w:pStyle w:val="ListParagraph"/>
              <w:numPr>
                <w:ilvl w:val="0"/>
                <w:numId w:val="2"/>
              </w:numPr>
              <w:spacing w:before="60" w:after="60"/>
            </w:pPr>
            <w:r>
              <w:rPr>
                <w:rFonts w:ascii="Arial" w:cs="Arial" w:eastAsia="Arial" w:hAnsi="Arial"/>
                <w:b w:val="false"/>
                <w:bCs w:val="false"/>
                <w:color w:val="1A1A2E"/>
                <w:sz w:val="22"/>
                <w:szCs w:val="22"/>
              </w:rPr>
              <w:t xml:space="preserve">First Trimester: Nutrition basics, booking confirmation, HIV and malaria test reminders</w:t>
            </w:r>
          </w:p>
          <w:p>
            <w:pPr>
              <w:pStyle w:val="ListParagraph"/>
              <w:numPr>
                <w:ilvl w:val="0"/>
                <w:numId w:val="2"/>
              </w:numPr>
              <w:spacing w:before="60" w:after="60"/>
            </w:pPr>
            <w:r>
              <w:rPr>
                <w:rFonts w:ascii="Arial" w:cs="Arial" w:eastAsia="Arial" w:hAnsi="Arial"/>
                <w:b w:val="false"/>
                <w:bCs w:val="false"/>
                <w:color w:val="1A1A2E"/>
                <w:sz w:val="22"/>
                <w:szCs w:val="22"/>
              </w:rPr>
              <w:t xml:space="preserve">Second Trimester: Appointment reminders, fetal movement awareness, danger signs (headache, bleeding, reduced movement)</w:t>
            </w:r>
          </w:p>
          <w:p>
            <w:pPr>
              <w:pStyle w:val="ListParagraph"/>
              <w:numPr>
                <w:ilvl w:val="0"/>
                <w:numId w:val="2"/>
              </w:numPr>
              <w:spacing w:before="60" w:after="60"/>
            </w:pPr>
            <w:r>
              <w:rPr>
                <w:rFonts w:ascii="Arial" w:cs="Arial" w:eastAsia="Arial" w:hAnsi="Arial"/>
                <w:b w:val="false"/>
                <w:bCs w:val="false"/>
                <w:color w:val="1A1A2E"/>
                <w:sz w:val="22"/>
                <w:szCs w:val="22"/>
              </w:rPr>
              <w:t xml:space="preserve">Third Trimester: Delivery preparation, facility choice, emergency contact, newborn feeding information</w:t>
            </w:r>
          </w:p>
          <w:p>
            <w:pPr>
              <w:pStyle w:val="ListParagraph"/>
              <w:numPr>
                <w:ilvl w:val="0"/>
                <w:numId w:val="2"/>
              </w:numPr>
              <w:spacing w:before="60" w:after="60"/>
            </w:pPr>
            <w:r>
              <w:rPr>
                <w:rFonts w:ascii="Arial" w:cs="Arial" w:eastAsia="Arial" w:hAnsi="Arial"/>
                <w:b w:val="false"/>
                <w:bCs w:val="false"/>
                <w:color w:val="1A1A2E"/>
                <w:sz w:val="22"/>
                <w:szCs w:val="22"/>
              </w:rPr>
              <w:t xml:space="preserve">Post-delivery: Daily Day 1-7 newborn checklist, jaundice and sepsis warning signs, immunization schedule alerts</w:t>
            </w:r>
          </w:p>
          <w:p>
            <w:pPr>
              <w:pStyle w:val="ListParagraph"/>
              <w:numPr>
                <w:ilvl w:val="0"/>
                <w:numId w:val="2"/>
              </w:numPr>
              <w:spacing w:before="60" w:after="60"/>
            </w:pPr>
            <w:r>
              <w:rPr>
                <w:rFonts w:ascii="Arial" w:cs="Arial" w:eastAsia="Arial" w:hAnsi="Arial"/>
                <w:b w:val="false"/>
                <w:bCs w:val="false"/>
                <w:color w:val="1A1A2E"/>
                <w:sz w:val="22"/>
                <w:szCs w:val="22"/>
              </w:rPr>
              <w:t xml:space="preserve">All stages: Symptom self-report prompts, escalation to clinic if danger signs reported</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0E6" w:val="clear"/>
            <w:tcMar>
              <w:top w:type="dxa" w:w="160"/>
              <w:left w:type="dxa" w:w="240"/>
              <w:bottom w:type="dxa" w:w="160"/>
              <w:right w:type="dxa" w:w="240"/>
            </w:tcMar>
          </w:tcPr>
          <w:p>
            <w:pPr>
              <w:spacing w:before="40" w:after="80"/>
            </w:pPr>
            <w:r>
              <w:rPr>
                <w:rFonts w:ascii="Arial" w:cs="Arial" w:eastAsia="Arial" w:hAnsi="Arial"/>
                <w:b/>
                <w:bCs/>
                <w:color w:val="E8620A"/>
                <w:sz w:val="24"/>
                <w:szCs w:val="24"/>
              </w:rPr>
              <w:t xml:space="preserve">Language Support</w:t>
            </w:r>
          </w:p>
          <w:p>
            <w:pPr>
              <w:pStyle w:val="ListParagraph"/>
              <w:numPr>
                <w:ilvl w:val="0"/>
                <w:numId w:val="2"/>
              </w:numPr>
              <w:spacing w:before="60" w:after="60"/>
            </w:pPr>
            <w:r>
              <w:rPr>
                <w:rFonts w:ascii="Arial" w:cs="Arial" w:eastAsia="Arial" w:hAnsi="Arial"/>
                <w:b w:val="false"/>
                <w:bCs w:val="false"/>
                <w:color w:val="1A1A2E"/>
                <w:sz w:val="22"/>
                <w:szCs w:val="22"/>
              </w:rPr>
              <w:t xml:space="preserve">English: Standard clinical plain language</w:t>
            </w:r>
          </w:p>
          <w:p>
            <w:pPr>
              <w:pStyle w:val="ListParagraph"/>
              <w:numPr>
                <w:ilvl w:val="0"/>
                <w:numId w:val="2"/>
              </w:numPr>
              <w:spacing w:before="60" w:after="60"/>
            </w:pPr>
            <w:r>
              <w:rPr>
                <w:rFonts w:ascii="Arial" w:cs="Arial" w:eastAsia="Arial" w:hAnsi="Arial"/>
                <w:b w:val="false"/>
                <w:bCs w:val="false"/>
                <w:color w:val="1A1A2E"/>
                <w:sz w:val="22"/>
                <w:szCs w:val="22"/>
              </w:rPr>
              <w:t xml:space="preserve">Nigerian Pidgin: Accessible to broad urban and rural population</w:t>
            </w:r>
          </w:p>
          <w:p>
            <w:pPr>
              <w:pStyle w:val="ListParagraph"/>
              <w:numPr>
                <w:ilvl w:val="0"/>
                <w:numId w:val="2"/>
              </w:numPr>
              <w:spacing w:before="60" w:after="60"/>
            </w:pPr>
            <w:r>
              <w:rPr>
                <w:rFonts w:ascii="Arial" w:cs="Arial" w:eastAsia="Arial" w:hAnsi="Arial"/>
                <w:b w:val="false"/>
                <w:bCs w:val="false"/>
                <w:color w:val="1A1A2E"/>
                <w:sz w:val="22"/>
                <w:szCs w:val="22"/>
              </w:rPr>
              <w:t xml:space="preserve">Yoruba: South-West coverage (expandable to Hausa and Igbo in future versions)</w:t>
            </w:r>
          </w:p>
        </w:tc>
      </w:tr>
    </w:tbl>
    <w:p>
      <w:pPr>
        <w:spacing w:before="200" w:after="0"/>
      </w:pPr>
      <w:r>
        <w:t xml:space="preserve"/>
      </w:r>
    </w:p>
    <w:p>
      <w:pPr>
        <w:pStyle w:val="Heading1"/>
        <w:pBdr>
          <w:bottom w:val="single" w:color="007B85" w:sz="4" w:space="6"/>
        </w:pBdr>
        <w:spacing w:before="400" w:after="200"/>
      </w:pPr>
      <w:r>
        <w:rPr>
          <w:rFonts w:ascii="Arial" w:cs="Arial" w:eastAsia="Arial" w:hAnsi="Arial"/>
          <w:b/>
          <w:bCs/>
          <w:color w:val="007B85"/>
          <w:sz w:val="32"/>
          <w:szCs w:val="32"/>
        </w:rPr>
        <w:t xml:space="preserve">9. Layer 3: Newborn Protection (Day 1-28)</w:t>
      </w:r>
    </w:p>
    <w:p>
      <w:pPr>
        <w:spacing w:before="80" w:after="80"/>
      </w:pPr>
      <w:r>
        <w:rPr>
          <w:rFonts w:ascii="Arial" w:cs="Arial" w:eastAsia="Arial" w:hAnsi="Arial"/>
          <w:color w:val="1A1A2E"/>
          <w:sz w:val="22"/>
          <w:szCs w:val="22"/>
        </w:rPr>
        <w:t xml:space="preserve">The perinatal window carries Nigeria's highest newborn mortality risk. Abiyamo extends the mother's engagement thread post-delivery into a structured 28-day newborn watchlist delivered via WhatsApp.</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007B85"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3680"/>
            <w:tcBorders>
              <w:top w:val="single" w:color="CCCCCC" w:sz="1"/>
              <w:left w:val="single" w:color="CCCCCC" w:sz="1"/>
              <w:bottom w:val="single" w:color="CCCCCC" w:sz="1"/>
              <w:right w:val="single" w:color="CCCCCC" w:sz="1"/>
            </w:tcBorders>
            <w:shd w:fill="007B85" w:val="clear"/>
            <w:tcMar>
              <w:top w:type="dxa" w:w="80"/>
              <w:left w:type="dxa" w:w="120"/>
              <w:bottom w:type="dxa" w:w="80"/>
              <w:right w:type="dxa" w:w="120"/>
            </w:tcMar>
          </w:tcPr>
          <w:p>
            <w:r>
              <w:rPr>
                <w:rFonts w:ascii="Arial" w:cs="Arial" w:eastAsia="Arial" w:hAnsi="Arial"/>
                <w:b/>
                <w:bCs/>
                <w:color w:val="FFFFFF"/>
                <w:sz w:val="20"/>
                <w:szCs w:val="20"/>
              </w:rPr>
              <w:t xml:space="preserve">Checklist Focus</w:t>
            </w:r>
          </w:p>
        </w:tc>
        <w:tc>
          <w:tcPr>
            <w:tcW w:type="dxa" w:w="3680"/>
            <w:tcBorders>
              <w:top w:val="single" w:color="CCCCCC" w:sz="1"/>
              <w:left w:val="single" w:color="CCCCCC" w:sz="1"/>
              <w:bottom w:val="single" w:color="CCCCCC" w:sz="1"/>
              <w:right w:val="single" w:color="CCCCCC" w:sz="1"/>
            </w:tcBorders>
            <w:shd w:fill="007B85" w:val="clear"/>
            <w:tcMar>
              <w:top w:type="dxa" w:w="80"/>
              <w:left w:type="dxa" w:w="120"/>
              <w:bottom w:type="dxa" w:w="80"/>
              <w:right w:type="dxa" w:w="120"/>
            </w:tcMar>
          </w:tcPr>
          <w:p>
            <w:r>
              <w:rPr>
                <w:rFonts w:ascii="Arial" w:cs="Arial" w:eastAsia="Arial" w:hAnsi="Arial"/>
                <w:b/>
                <w:bCs/>
                <w:color w:val="FFFFFF"/>
                <w:sz w:val="20"/>
                <w:szCs w:val="20"/>
              </w:rPr>
              <w:t xml:space="preserve">Alert Triggers</w:t>
            </w:r>
          </w:p>
        </w:tc>
      </w:tr>
      <w:tr>
        <w:tc>
          <w:tcPr>
            <w:tcW w:type="dxa" w:w="20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07B85"/>
                <w:sz w:val="20"/>
                <w:szCs w:val="20"/>
              </w:rPr>
              <w:t xml:space="preserve">Day 1-3</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Breathing, cord care, first feed (breastfeeding initiation), skin colour, temperature</w:t>
            </w:r>
          </w:p>
        </w:tc>
        <w:tc>
          <w:tcPr>
            <w:tcW w:type="dxa" w:w="3680"/>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tcPr>
          <w:p>
            <w:r>
              <w:rPr>
                <w:rFonts w:ascii="Arial" w:cs="Arial" w:eastAsia="Arial" w:hAnsi="Arial"/>
                <w:color w:val="1A1A2E"/>
                <w:sz w:val="20"/>
                <w:szCs w:val="20"/>
              </w:rPr>
              <w:t xml:space="preserve">Yellow skin or eyes, difficulty breathing, not feeding, temperature &lt; 36.5°C or &gt; 37.5°C</w:t>
            </w:r>
          </w:p>
        </w:tc>
      </w:tr>
      <w:tr>
        <w:tc>
          <w:tcPr>
            <w:tcW w:type="dxa" w:w="20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07B85"/>
                <w:sz w:val="20"/>
                <w:szCs w:val="20"/>
              </w:rPr>
              <w:t xml:space="preserve">Day 4-7</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Jaundice monitoring, cord separation, continued feeding, weight loss check</w:t>
            </w:r>
          </w:p>
        </w:tc>
        <w:tc>
          <w:tcPr>
            <w:tcW w:type="dxa" w:w="3680"/>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tcPr>
          <w:p>
            <w:r>
              <w:rPr>
                <w:rFonts w:ascii="Arial" w:cs="Arial" w:eastAsia="Arial" w:hAnsi="Arial"/>
                <w:color w:val="1A1A2E"/>
                <w:sz w:val="20"/>
                <w:szCs w:val="20"/>
              </w:rPr>
              <w:t xml:space="preserve">Deepening jaundice, cord redness/smell, poor feeding, excessive crying</w:t>
            </w:r>
          </w:p>
        </w:tc>
      </w:tr>
      <w:tr>
        <w:tc>
          <w:tcPr>
            <w:tcW w:type="dxa" w:w="20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07B85"/>
                <w:sz w:val="20"/>
                <w:szCs w:val="20"/>
              </w:rPr>
              <w:t xml:space="preserve">Day 8-14</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Feeding pattern, stool and urine output, social responsiveness</w:t>
            </w:r>
          </w:p>
        </w:tc>
        <w:tc>
          <w:tcPr>
            <w:tcW w:type="dxa" w:w="3680"/>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tcPr>
          <w:p>
            <w:r>
              <w:rPr>
                <w:rFonts w:ascii="Arial" w:cs="Arial" w:eastAsia="Arial" w:hAnsi="Arial"/>
                <w:color w:val="1A1A2E"/>
                <w:sz w:val="20"/>
                <w:szCs w:val="20"/>
              </w:rPr>
              <w:t xml:space="preserve">No wet nappies, projectile vomiting, lethargy, persistent fever</w:t>
            </w:r>
          </w:p>
        </w:tc>
      </w:tr>
      <w:tr>
        <w:tc>
          <w:tcPr>
            <w:tcW w:type="dxa" w:w="20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07B85"/>
                <w:sz w:val="20"/>
                <w:szCs w:val="20"/>
              </w:rPr>
              <w:t xml:space="preserve">Day 15-28</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Growth tracking, immunization reminder (BCG, HepB, OPV0 if not given), developmental checks</w:t>
            </w:r>
          </w:p>
        </w:tc>
        <w:tc>
          <w:tcPr>
            <w:tcW w:type="dxa" w:w="3680"/>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tcPr>
          <w:p>
            <w:r>
              <w:rPr>
                <w:rFonts w:ascii="Arial" w:cs="Arial" w:eastAsia="Arial" w:hAnsi="Arial"/>
                <w:color w:val="1A1A2E"/>
                <w:sz w:val="20"/>
                <w:szCs w:val="20"/>
              </w:rPr>
              <w:t xml:space="preserve">Missed immunizations, poor weight gain, persistent jaundice beyond 14 days</w:t>
            </w:r>
          </w:p>
        </w:tc>
      </w:tr>
    </w:tbl>
    <w:p>
      <w:pPr>
        <w:spacing w:before="200" w:after="0"/>
      </w:pPr>
      <w:r>
        <w:t xml:space="preserve"/>
      </w:r>
    </w:p>
    <w:p>
      <w:pPr>
        <w:pStyle w:val="Heading1"/>
        <w:pBdr>
          <w:bottom w:val="single" w:color="007B85" w:sz="4" w:space="6"/>
        </w:pBdr>
        <w:spacing w:before="400" w:after="200"/>
      </w:pPr>
      <w:r>
        <w:rPr>
          <w:rFonts w:ascii="Arial" w:cs="Arial" w:eastAsia="Arial" w:hAnsi="Arial"/>
          <w:b/>
          <w:bCs/>
          <w:color w:val="007B85"/>
          <w:sz w:val="32"/>
          <w:szCs w:val="32"/>
        </w:rPr>
        <w:t xml:space="preserve">10. Deployment Strategy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shd w:fill="E0F4F5" w:val="clear"/>
            <w:tcMar>
              <w:top w:type="dxa" w:w="160"/>
              <w:left w:type="dxa" w:w="200"/>
              <w:bottom w:type="dxa" w:w="160"/>
              <w:right w:type="dxa" w:w="200"/>
            </w:tcMar>
          </w:tcPr>
          <w:p>
            <w:pPr>
              <w:spacing w:before="40" w:after="100"/>
            </w:pPr>
            <w:r>
              <w:rPr>
                <w:rFonts w:ascii="Arial" w:cs="Arial" w:eastAsia="Arial" w:hAnsi="Arial"/>
                <w:b/>
                <w:bCs/>
                <w:color w:val="007B85"/>
                <w:sz w:val="22"/>
                <w:szCs w:val="22"/>
              </w:rPr>
              <w:t xml:space="preserve">Phase 1: Prototype (Months 1-3)</w:t>
            </w:r>
          </w:p>
          <w:p>
            <w:pPr>
              <w:pStyle w:val="ListParagraph"/>
              <w:numPr>
                <w:ilvl w:val="0"/>
                <w:numId w:val="2"/>
              </w:numPr>
              <w:spacing w:before="60" w:after="60"/>
            </w:pPr>
            <w:r>
              <w:rPr>
                <w:rFonts w:ascii="Arial" w:cs="Arial" w:eastAsia="Arial" w:hAnsi="Arial"/>
                <w:b w:val="false"/>
                <w:bCs w:val="false"/>
                <w:color w:val="1A1A2E"/>
                <w:sz w:val="22"/>
                <w:szCs w:val="22"/>
              </w:rPr>
              <w:t xml:space="preserve">Build rule-based risk scoring layer</w:t>
            </w:r>
          </w:p>
          <w:p>
            <w:pPr>
              <w:pStyle w:val="ListParagraph"/>
              <w:numPr>
                <w:ilvl w:val="0"/>
                <w:numId w:val="2"/>
              </w:numPr>
              <w:spacing w:before="60" w:after="60"/>
            </w:pPr>
            <w:r>
              <w:rPr>
                <w:rFonts w:ascii="Arial" w:cs="Arial" w:eastAsia="Arial" w:hAnsi="Arial"/>
                <w:b w:val="false"/>
                <w:bCs w:val="false"/>
                <w:color w:val="1A1A2E"/>
                <w:sz w:val="22"/>
                <w:szCs w:val="22"/>
              </w:rPr>
              <w:t xml:space="preserve">Develop manual entry interface (web-based)</w:t>
            </w:r>
          </w:p>
          <w:p>
            <w:pPr>
              <w:pStyle w:val="ListParagraph"/>
              <w:numPr>
                <w:ilvl w:val="0"/>
                <w:numId w:val="2"/>
              </w:numPr>
              <w:spacing w:before="60" w:after="60"/>
            </w:pPr>
            <w:r>
              <w:rPr>
                <w:rFonts w:ascii="Arial" w:cs="Arial" w:eastAsia="Arial" w:hAnsi="Arial"/>
                <w:b w:val="false"/>
                <w:bCs w:val="false"/>
                <w:color w:val="1A1A2E"/>
                <w:sz w:val="22"/>
                <w:szCs w:val="22"/>
              </w:rPr>
              <w:t xml:space="preserve">Prototype WhatsApp bot for one language (English)</w:t>
            </w:r>
          </w:p>
          <w:p>
            <w:pPr>
              <w:pStyle w:val="ListParagraph"/>
              <w:numPr>
                <w:ilvl w:val="0"/>
                <w:numId w:val="2"/>
              </w:numPr>
              <w:spacing w:before="60" w:after="60"/>
            </w:pPr>
            <w:r>
              <w:rPr>
                <w:rFonts w:ascii="Arial" w:cs="Arial" w:eastAsia="Arial" w:hAnsi="Arial"/>
                <w:b w:val="false"/>
                <w:bCs w:val="false"/>
                <w:color w:val="1A1A2E"/>
                <w:sz w:val="22"/>
                <w:szCs w:val="22"/>
              </w:rPr>
              <w:t xml:space="preserve">Test with synthetic and de-identified ANC data</w:t>
            </w:r>
          </w:p>
          <w:p>
            <w:pPr>
              <w:pStyle w:val="ListParagraph"/>
              <w:numPr>
                <w:ilvl w:val="0"/>
                <w:numId w:val="2"/>
              </w:numPr>
              <w:spacing w:before="60" w:after="60"/>
            </w:pPr>
            <w:r>
              <w:rPr>
                <w:rFonts w:ascii="Arial" w:cs="Arial" w:eastAsia="Arial" w:hAnsi="Arial"/>
                <w:b w:val="false"/>
                <w:bCs w:val="false"/>
                <w:color w:val="1A1A2E"/>
                <w:sz w:val="22"/>
                <w:szCs w:val="22"/>
              </w:rPr>
              <w:t xml:space="preserve">Develop and review ICD-11 mapping library</w:t>
            </w:r>
          </w:p>
          <w:p>
            <w:pPr>
              <w:pStyle w:val="ListParagraph"/>
              <w:numPr>
                <w:ilvl w:val="0"/>
                <w:numId w:val="2"/>
              </w:numPr>
              <w:spacing w:before="60" w:after="60"/>
            </w:pPr>
            <w:r>
              <w:rPr>
                <w:rFonts w:ascii="Arial" w:cs="Arial" w:eastAsia="Arial" w:hAnsi="Arial"/>
                <w:b w:val="false"/>
                <w:bCs w:val="false"/>
                <w:color w:val="1A1A2E"/>
                <w:sz w:val="22"/>
                <w:szCs w:val="22"/>
              </w:rPr>
              <w:t xml:space="preserve">Demo Day capstone presentation at AI4SID</w:t>
            </w:r>
          </w:p>
        </w:tc>
        <w:tc>
          <w:tcPr>
            <w:tcW w:type="dxa" w:w="4620"/>
            <w:tcBorders>
              <w:top w:val="none" w:color="FFFFFF" w:sz="0"/>
              <w:left w:val="none" w:color="FFFFFF" w:sz="0"/>
              <w:bottom w:val="none" w:color="FFFFFF" w:sz="0"/>
              <w:right w:val="none" w:color="FFFFFF" w:sz="0"/>
            </w:tcBorders>
            <w:shd w:fill="FEF0E6" w:val="clear"/>
            <w:tcMar>
              <w:top w:type="dxa" w:w="160"/>
              <w:left w:type="dxa" w:w="200"/>
              <w:bottom w:type="dxa" w:w="160"/>
              <w:right w:type="dxa" w:w="200"/>
            </w:tcMar>
          </w:tcPr>
          <w:p>
            <w:pPr>
              <w:spacing w:before="40" w:after="100"/>
            </w:pPr>
            <w:r>
              <w:rPr>
                <w:rFonts w:ascii="Arial" w:cs="Arial" w:eastAsia="Arial" w:hAnsi="Arial"/>
                <w:b/>
                <w:bCs/>
                <w:color w:val="E8620A"/>
                <w:sz w:val="22"/>
                <w:szCs w:val="22"/>
              </w:rPr>
              <w:t xml:space="preserve">Phase 2: Pilot (Months 4-9)</w:t>
            </w:r>
          </w:p>
          <w:p>
            <w:pPr>
              <w:pStyle w:val="ListParagraph"/>
              <w:numPr>
                <w:ilvl w:val="0"/>
                <w:numId w:val="2"/>
              </w:numPr>
              <w:spacing w:before="60" w:after="60"/>
            </w:pPr>
            <w:r>
              <w:rPr>
                <w:rFonts w:ascii="Arial" w:cs="Arial" w:eastAsia="Arial" w:hAnsi="Arial"/>
                <w:b w:val="false"/>
                <w:bCs w:val="false"/>
                <w:color w:val="1A1A2E"/>
                <w:sz w:val="22"/>
                <w:szCs w:val="22"/>
              </w:rPr>
              <w:t xml:space="preserve">Train ML model on real ANC outcome dataset</w:t>
            </w:r>
          </w:p>
          <w:p>
            <w:pPr>
              <w:pStyle w:val="ListParagraph"/>
              <w:numPr>
                <w:ilvl w:val="0"/>
                <w:numId w:val="2"/>
              </w:numPr>
              <w:spacing w:before="60" w:after="60"/>
            </w:pPr>
            <w:r>
              <w:rPr>
                <w:rFonts w:ascii="Arial" w:cs="Arial" w:eastAsia="Arial" w:hAnsi="Arial"/>
                <w:b w:val="false"/>
                <w:bCs w:val="false"/>
                <w:color w:val="1A1A2E"/>
                <w:sz w:val="22"/>
                <w:szCs w:val="22"/>
              </w:rPr>
              <w:t xml:space="preserve">Integrate DHIS2 API for automated data pull</w:t>
            </w:r>
          </w:p>
          <w:p>
            <w:pPr>
              <w:pStyle w:val="ListParagraph"/>
              <w:numPr>
                <w:ilvl w:val="0"/>
                <w:numId w:val="2"/>
              </w:numPr>
              <w:spacing w:before="60" w:after="60"/>
            </w:pPr>
            <w:r>
              <w:rPr>
                <w:rFonts w:ascii="Arial" w:cs="Arial" w:eastAsia="Arial" w:hAnsi="Arial"/>
                <w:b w:val="false"/>
                <w:bCs w:val="false"/>
                <w:color w:val="1A1A2E"/>
                <w:sz w:val="22"/>
                <w:szCs w:val="22"/>
              </w:rPr>
              <w:t xml:space="preserve">Expand WhatsApp to Pidgin and Yoruba</w:t>
            </w:r>
          </w:p>
          <w:p>
            <w:pPr>
              <w:pStyle w:val="ListParagraph"/>
              <w:numPr>
                <w:ilvl w:val="0"/>
                <w:numId w:val="2"/>
              </w:numPr>
              <w:spacing w:before="60" w:after="60"/>
            </w:pPr>
            <w:r>
              <w:rPr>
                <w:rFonts w:ascii="Arial" w:cs="Arial" w:eastAsia="Arial" w:hAnsi="Arial"/>
                <w:b w:val="false"/>
                <w:bCs w:val="false"/>
                <w:color w:val="1A1A2E"/>
                <w:sz w:val="22"/>
                <w:szCs w:val="22"/>
              </w:rPr>
              <w:t xml:space="preserve">Pilot in 3-5 PHCs in FCT or North-West Nigeria</w:t>
            </w:r>
          </w:p>
          <w:p>
            <w:pPr>
              <w:pStyle w:val="ListParagraph"/>
              <w:numPr>
                <w:ilvl w:val="0"/>
                <w:numId w:val="2"/>
              </w:numPr>
              <w:spacing w:before="60" w:after="60"/>
            </w:pPr>
            <w:r>
              <w:rPr>
                <w:rFonts w:ascii="Arial" w:cs="Arial" w:eastAsia="Arial" w:hAnsi="Arial"/>
                <w:b w:val="false"/>
                <w:bCs w:val="false"/>
                <w:color w:val="1A1A2E"/>
                <w:sz w:val="22"/>
                <w:szCs w:val="22"/>
              </w:rPr>
              <w:t xml:space="preserve">Collect outcome data for model improvement</w:t>
            </w:r>
          </w:p>
          <w:p>
            <w:pPr>
              <w:pStyle w:val="ListParagraph"/>
              <w:numPr>
                <w:ilvl w:val="0"/>
                <w:numId w:val="2"/>
              </w:numPr>
              <w:spacing w:before="60" w:after="60"/>
            </w:pPr>
            <w:r>
              <w:rPr>
                <w:rFonts w:ascii="Arial" w:cs="Arial" w:eastAsia="Arial" w:hAnsi="Arial"/>
                <w:b w:val="false"/>
                <w:bCs w:val="false"/>
                <w:color w:val="1A1A2E"/>
                <w:sz w:val="22"/>
                <w:szCs w:val="22"/>
              </w:rPr>
              <w:t xml:space="preserve">Engage state Ministry of Health as partner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40"/>
              <w:bottom w:type="dxa" w:w="160"/>
              <w:right w:type="dxa" w:w="240"/>
            </w:tcMar>
          </w:tcPr>
          <w:p>
            <w:pPr>
              <w:spacing w:before="40" w:after="80"/>
            </w:pPr>
            <w:r>
              <w:rPr>
                <w:rFonts w:ascii="Arial" w:cs="Arial" w:eastAsia="Arial" w:hAnsi="Arial"/>
                <w:b/>
                <w:bCs/>
                <w:color w:val="1A1A2E"/>
                <w:sz w:val="24"/>
                <w:szCs w:val="24"/>
              </w:rPr>
              <w:t xml:space="preserve">Technical Stack (Proposed)</w:t>
            </w:r>
          </w:p>
          <w:p>
            <w:pPr>
              <w:pStyle w:val="ListParagraph"/>
              <w:numPr>
                <w:ilvl w:val="0"/>
                <w:numId w:val="2"/>
              </w:numPr>
              <w:spacing w:before="60" w:after="60"/>
            </w:pPr>
            <w:r>
              <w:rPr>
                <w:rFonts w:ascii="Arial" w:cs="Arial" w:eastAsia="Arial" w:hAnsi="Arial"/>
                <w:b w:val="false"/>
                <w:bCs w:val="false"/>
                <w:color w:val="1A1A2E"/>
                <w:sz w:val="22"/>
                <w:szCs w:val="22"/>
              </w:rPr>
              <w:t xml:space="preserve">Backend: Python (FastAPI), ML model in scikit-learn / XGBoost</w:t>
            </w:r>
          </w:p>
          <w:p>
            <w:pPr>
              <w:pStyle w:val="ListParagraph"/>
              <w:numPr>
                <w:ilvl w:val="0"/>
                <w:numId w:val="2"/>
              </w:numPr>
              <w:spacing w:before="60" w:after="60"/>
            </w:pPr>
            <w:r>
              <w:rPr>
                <w:rFonts w:ascii="Arial" w:cs="Arial" w:eastAsia="Arial" w:hAnsi="Arial"/>
                <w:b w:val="false"/>
                <w:bCs w:val="false"/>
                <w:color w:val="1A1A2E"/>
                <w:sz w:val="22"/>
                <w:szCs w:val="22"/>
              </w:rPr>
              <w:t xml:space="preserve">Frontend: React web app for clinic interface</w:t>
            </w:r>
          </w:p>
          <w:p>
            <w:pPr>
              <w:pStyle w:val="ListParagraph"/>
              <w:numPr>
                <w:ilvl w:val="0"/>
                <w:numId w:val="2"/>
              </w:numPr>
              <w:spacing w:before="60" w:after="60"/>
            </w:pPr>
            <w:r>
              <w:rPr>
                <w:rFonts w:ascii="Arial" w:cs="Arial" w:eastAsia="Arial" w:hAnsi="Arial"/>
                <w:b w:val="false"/>
                <w:bCs w:val="false"/>
                <w:color w:val="1A1A2E"/>
                <w:sz w:val="22"/>
                <w:szCs w:val="22"/>
              </w:rPr>
              <w:t xml:space="preserve">WhatsApp: Twilio WhatsApp Business API or Meta Cloud API</w:t>
            </w:r>
          </w:p>
          <w:p>
            <w:pPr>
              <w:pStyle w:val="ListParagraph"/>
              <w:numPr>
                <w:ilvl w:val="0"/>
                <w:numId w:val="2"/>
              </w:numPr>
              <w:spacing w:before="60" w:after="60"/>
            </w:pPr>
            <w:r>
              <w:rPr>
                <w:rFonts w:ascii="Arial" w:cs="Arial" w:eastAsia="Arial" w:hAnsi="Arial"/>
                <w:b w:val="false"/>
                <w:bCs w:val="false"/>
                <w:color w:val="1A1A2E"/>
                <w:sz w:val="22"/>
                <w:szCs w:val="22"/>
              </w:rPr>
              <w:t xml:space="preserve">Database: PostgreSQL with anonymised patient records</w:t>
            </w:r>
          </w:p>
          <w:p>
            <w:pPr>
              <w:pStyle w:val="ListParagraph"/>
              <w:numPr>
                <w:ilvl w:val="0"/>
                <w:numId w:val="2"/>
              </w:numPr>
              <w:spacing w:before="60" w:after="60"/>
            </w:pPr>
            <w:r>
              <w:rPr>
                <w:rFonts w:ascii="Arial" w:cs="Arial" w:eastAsia="Arial" w:hAnsi="Arial"/>
                <w:b w:val="false"/>
                <w:bCs w:val="false"/>
                <w:color w:val="1A1A2E"/>
                <w:sz w:val="22"/>
                <w:szCs w:val="22"/>
              </w:rPr>
              <w:t xml:space="preserve">EMR Integration: DHIS2 REST API, FHIR-compatible endpoints</w:t>
            </w:r>
          </w:p>
          <w:p>
            <w:pPr>
              <w:pStyle w:val="ListParagraph"/>
              <w:numPr>
                <w:ilvl w:val="0"/>
                <w:numId w:val="2"/>
              </w:numPr>
              <w:spacing w:before="60" w:after="60"/>
            </w:pPr>
            <w:r>
              <w:rPr>
                <w:rFonts w:ascii="Arial" w:cs="Arial" w:eastAsia="Arial" w:hAnsi="Arial"/>
                <w:b w:val="false"/>
                <w:bCs w:val="false"/>
                <w:color w:val="1A1A2E"/>
                <w:sz w:val="22"/>
                <w:szCs w:val="22"/>
              </w:rPr>
              <w:t xml:space="preserve">Deployment: Cloud-hosted (AWS or Azure), with offline-first fallback for low-connectivity facilities</w:t>
            </w:r>
          </w:p>
        </w:tc>
      </w:tr>
    </w:tbl>
    <w:p>
      <w:pPr>
        <w:spacing w:before="200" w:after="0"/>
      </w:pPr>
      <w:r>
        <w:t xml:space="preserve"/>
      </w:r>
    </w:p>
    <w:p>
      <w:pPr>
        <w:pStyle w:val="Heading1"/>
        <w:pBdr>
          <w:bottom w:val="single" w:color="007B85" w:sz="4" w:space="6"/>
        </w:pBdr>
        <w:spacing w:before="400" w:after="200"/>
      </w:pPr>
      <w:r>
        <w:rPr>
          <w:rFonts w:ascii="Arial" w:cs="Arial" w:eastAsia="Arial" w:hAnsi="Arial"/>
          <w:b/>
          <w:bCs/>
          <w:color w:val="007B85"/>
          <w:sz w:val="32"/>
          <w:szCs w:val="32"/>
        </w:rPr>
        <w:t xml:space="preserve">11. Ethical Considerations and Responsible AI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shd w:fill="E0F4F5" w:val="clear"/>
            <w:tcMar>
              <w:top w:type="dxa" w:w="160"/>
              <w:left w:type="dxa" w:w="200"/>
              <w:bottom w:type="dxa" w:w="160"/>
              <w:right w:type="dxa" w:w="200"/>
            </w:tcMar>
          </w:tcPr>
          <w:p>
            <w:pPr>
              <w:spacing w:before="40" w:after="80"/>
            </w:pPr>
            <w:r>
              <w:rPr>
                <w:rFonts w:ascii="Arial" w:cs="Arial" w:eastAsia="Arial" w:hAnsi="Arial"/>
                <w:b/>
                <w:bCs/>
                <w:color w:val="007B85"/>
                <w:sz w:val="22"/>
                <w:szCs w:val="22"/>
              </w:rPr>
              <w:t xml:space="preserve">Data Privacy &amp; Consent</w:t>
            </w:r>
          </w:p>
          <w:p>
            <w:pPr>
              <w:pStyle w:val="ListParagraph"/>
              <w:numPr>
                <w:ilvl w:val="0"/>
                <w:numId w:val="2"/>
              </w:numPr>
              <w:spacing w:before="60" w:after="60"/>
            </w:pPr>
            <w:r>
              <w:rPr>
                <w:rFonts w:ascii="Arial" w:cs="Arial" w:eastAsia="Arial" w:hAnsi="Arial"/>
                <w:b w:val="false"/>
                <w:bCs w:val="false"/>
                <w:color w:val="1A1A2E"/>
                <w:sz w:val="22"/>
                <w:szCs w:val="22"/>
              </w:rPr>
              <w:t xml:space="preserve">Patient data anonymised in all model training</w:t>
            </w:r>
          </w:p>
          <w:p>
            <w:pPr>
              <w:pStyle w:val="ListParagraph"/>
              <w:numPr>
                <w:ilvl w:val="0"/>
                <w:numId w:val="2"/>
              </w:numPr>
              <w:spacing w:before="60" w:after="60"/>
            </w:pPr>
            <w:r>
              <w:rPr>
                <w:rFonts w:ascii="Arial" w:cs="Arial" w:eastAsia="Arial" w:hAnsi="Arial"/>
                <w:b w:val="false"/>
                <w:bCs w:val="false"/>
                <w:color w:val="1A1A2E"/>
                <w:sz w:val="22"/>
                <w:szCs w:val="22"/>
              </w:rPr>
              <w:t xml:space="preserve">Explicit consent obtained for WhatsApp enrollment</w:t>
            </w:r>
          </w:p>
          <w:p>
            <w:pPr>
              <w:pStyle w:val="ListParagraph"/>
              <w:numPr>
                <w:ilvl w:val="0"/>
                <w:numId w:val="2"/>
              </w:numPr>
              <w:spacing w:before="60" w:after="60"/>
            </w:pPr>
            <w:r>
              <w:rPr>
                <w:rFonts w:ascii="Arial" w:cs="Arial" w:eastAsia="Arial" w:hAnsi="Arial"/>
                <w:b w:val="false"/>
                <w:bCs w:val="false"/>
                <w:color w:val="1A1A2E"/>
                <w:sz w:val="22"/>
                <w:szCs w:val="22"/>
              </w:rPr>
              <w:t xml:space="preserve">No patient identifiers stored in model inference layer</w:t>
            </w:r>
          </w:p>
          <w:p>
            <w:pPr>
              <w:pStyle w:val="ListParagraph"/>
              <w:numPr>
                <w:ilvl w:val="0"/>
                <w:numId w:val="2"/>
              </w:numPr>
              <w:spacing w:before="60" w:after="60"/>
            </w:pPr>
            <w:r>
              <w:rPr>
                <w:rFonts w:ascii="Arial" w:cs="Arial" w:eastAsia="Arial" w:hAnsi="Arial"/>
                <w:b w:val="false"/>
                <w:bCs w:val="false"/>
                <w:color w:val="1A1A2E"/>
                <w:sz w:val="22"/>
                <w:szCs w:val="22"/>
              </w:rPr>
              <w:t xml:space="preserve">Compliant with Nigerian Data Protection Regulation (NDPR)</w:t>
            </w:r>
          </w:p>
          <w:p>
            <w:pPr>
              <w:spacing w:before="80" w:after="0"/>
            </w:pPr>
            <w:r>
              <w:t xml:space="preserve"/>
            </w:r>
          </w:p>
          <w:p>
            <w:pPr>
              <w:spacing w:before="40" w:after="80"/>
            </w:pPr>
            <w:r>
              <w:rPr>
                <w:rFonts w:ascii="Arial" w:cs="Arial" w:eastAsia="Arial" w:hAnsi="Arial"/>
                <w:b/>
                <w:bCs/>
                <w:color w:val="007B85"/>
                <w:sz w:val="22"/>
                <w:szCs w:val="22"/>
              </w:rPr>
              <w:t xml:space="preserve">Model Fairness</w:t>
            </w:r>
          </w:p>
          <w:p>
            <w:pPr>
              <w:pStyle w:val="ListParagraph"/>
              <w:numPr>
                <w:ilvl w:val="0"/>
                <w:numId w:val="2"/>
              </w:numPr>
              <w:spacing w:before="60" w:after="60"/>
            </w:pPr>
            <w:r>
              <w:rPr>
                <w:rFonts w:ascii="Arial" w:cs="Arial" w:eastAsia="Arial" w:hAnsi="Arial"/>
                <w:b w:val="false"/>
                <w:bCs w:val="false"/>
                <w:color w:val="1A1A2E"/>
                <w:sz w:val="22"/>
                <w:szCs w:val="22"/>
              </w:rPr>
              <w:t xml:space="preserve">Training data to include diverse geographic and ethnic representation</w:t>
            </w:r>
          </w:p>
          <w:p>
            <w:pPr>
              <w:pStyle w:val="ListParagraph"/>
              <w:numPr>
                <w:ilvl w:val="0"/>
                <w:numId w:val="2"/>
              </w:numPr>
              <w:spacing w:before="60" w:after="60"/>
            </w:pPr>
            <w:r>
              <w:rPr>
                <w:rFonts w:ascii="Arial" w:cs="Arial" w:eastAsia="Arial" w:hAnsi="Arial"/>
                <w:b w:val="false"/>
                <w:bCs w:val="false"/>
                <w:color w:val="1A1A2E"/>
                <w:sz w:val="22"/>
                <w:szCs w:val="22"/>
              </w:rPr>
              <w:t xml:space="preserve">Model performance evaluated separately across population subgroups</w:t>
            </w:r>
          </w:p>
          <w:p>
            <w:pPr>
              <w:pStyle w:val="ListParagraph"/>
              <w:numPr>
                <w:ilvl w:val="0"/>
                <w:numId w:val="2"/>
              </w:numPr>
              <w:spacing w:before="60" w:after="60"/>
            </w:pPr>
            <w:r>
              <w:rPr>
                <w:rFonts w:ascii="Arial" w:cs="Arial" w:eastAsia="Arial" w:hAnsi="Arial"/>
                <w:b w:val="false"/>
                <w:bCs w:val="false"/>
                <w:color w:val="1A1A2E"/>
                <w:sz w:val="22"/>
                <w:szCs w:val="22"/>
              </w:rPr>
              <w:t xml:space="preserve">Bias audit prior to any clinical deployment</w:t>
            </w:r>
          </w:p>
        </w:tc>
        <w:tc>
          <w:tcPr>
            <w:tcW w:type="dxa" w:w="4620"/>
            <w:tcBorders>
              <w:top w:val="none" w:color="FFFFFF" w:sz="0"/>
              <w:left w:val="none" w:color="FFFFFF" w:sz="0"/>
              <w:bottom w:val="none" w:color="FFFFFF" w:sz="0"/>
              <w:right w:val="none" w:color="FFFFFF" w:sz="0"/>
            </w:tcBorders>
            <w:shd w:fill="FEF0E6" w:val="clear"/>
            <w:tcMar>
              <w:top w:type="dxa" w:w="160"/>
              <w:left w:type="dxa" w:w="200"/>
              <w:bottom w:type="dxa" w:w="160"/>
              <w:right w:type="dxa" w:w="200"/>
            </w:tcMar>
          </w:tcPr>
          <w:p>
            <w:pPr>
              <w:spacing w:before="40" w:after="80"/>
            </w:pPr>
            <w:r>
              <w:rPr>
                <w:rFonts w:ascii="Arial" w:cs="Arial" w:eastAsia="Arial" w:hAnsi="Arial"/>
                <w:b/>
                <w:bCs/>
                <w:color w:val="E8620A"/>
                <w:sz w:val="22"/>
                <w:szCs w:val="22"/>
              </w:rPr>
              <w:t xml:space="preserve">Clinical Safety</w:t>
            </w:r>
          </w:p>
          <w:p>
            <w:pPr>
              <w:pStyle w:val="ListParagraph"/>
              <w:numPr>
                <w:ilvl w:val="0"/>
                <w:numId w:val="2"/>
              </w:numPr>
              <w:spacing w:before="60" w:after="60"/>
            </w:pPr>
            <w:r>
              <w:rPr>
                <w:rFonts w:ascii="Arial" w:cs="Arial" w:eastAsia="Arial" w:hAnsi="Arial"/>
                <w:b w:val="false"/>
                <w:bCs w:val="false"/>
                <w:color w:val="1A1A2E"/>
                <w:sz w:val="22"/>
                <w:szCs w:val="22"/>
              </w:rPr>
              <w:t xml:space="preserve">Abiyamo supports clinical decision making, it does not replace it</w:t>
            </w:r>
          </w:p>
          <w:p>
            <w:pPr>
              <w:pStyle w:val="ListParagraph"/>
              <w:numPr>
                <w:ilvl w:val="0"/>
                <w:numId w:val="2"/>
              </w:numPr>
              <w:spacing w:before="60" w:after="60"/>
            </w:pPr>
            <w:r>
              <w:rPr>
                <w:rFonts w:ascii="Arial" w:cs="Arial" w:eastAsia="Arial" w:hAnsi="Arial"/>
                <w:b w:val="false"/>
                <w:bCs w:val="false"/>
                <w:color w:val="1A1A2E"/>
                <w:sz w:val="22"/>
                <w:szCs w:val="22"/>
              </w:rPr>
              <w:t xml:space="preserve">All outputs include clear disclaimer that final decision rests with the clinician</w:t>
            </w:r>
          </w:p>
          <w:p>
            <w:pPr>
              <w:pStyle w:val="ListParagraph"/>
              <w:numPr>
                <w:ilvl w:val="0"/>
                <w:numId w:val="2"/>
              </w:numPr>
              <w:spacing w:before="60" w:after="60"/>
            </w:pPr>
            <w:r>
              <w:rPr>
                <w:rFonts w:ascii="Arial" w:cs="Arial" w:eastAsia="Arial" w:hAnsi="Arial"/>
                <w:b w:val="false"/>
                <w:bCs w:val="false"/>
                <w:color w:val="1A1A2E"/>
                <w:sz w:val="22"/>
                <w:szCs w:val="22"/>
              </w:rPr>
              <w:t xml:space="preserve">Critical flags always recommend human review and escalation</w:t>
            </w:r>
          </w:p>
          <w:p>
            <w:pPr>
              <w:pStyle w:val="ListParagraph"/>
              <w:numPr>
                <w:ilvl w:val="0"/>
                <w:numId w:val="2"/>
              </w:numPr>
              <w:spacing w:before="60" w:after="60"/>
            </w:pPr>
            <w:r>
              <w:rPr>
                <w:rFonts w:ascii="Arial" w:cs="Arial" w:eastAsia="Arial" w:hAnsi="Arial"/>
                <w:b w:val="false"/>
                <w:bCs w:val="false"/>
                <w:color w:val="1A1A2E"/>
                <w:sz w:val="22"/>
                <w:szCs w:val="22"/>
              </w:rPr>
              <w:t xml:space="preserve">Rule-based guardrails prevent ML model from missing critical cases</w:t>
            </w:r>
          </w:p>
          <w:p>
            <w:pPr>
              <w:spacing w:before="80" w:after="0"/>
            </w:pPr>
            <w:r>
              <w:t xml:space="preserve"/>
            </w:r>
          </w:p>
          <w:p>
            <w:pPr>
              <w:spacing w:before="40" w:after="80"/>
            </w:pPr>
            <w:r>
              <w:rPr>
                <w:rFonts w:ascii="Arial" w:cs="Arial" w:eastAsia="Arial" w:hAnsi="Arial"/>
                <w:b/>
                <w:bCs/>
                <w:color w:val="E8620A"/>
                <w:sz w:val="22"/>
                <w:szCs w:val="22"/>
              </w:rPr>
              <w:t xml:space="preserve">Transparency</w:t>
            </w:r>
          </w:p>
          <w:p>
            <w:pPr>
              <w:pStyle w:val="ListParagraph"/>
              <w:numPr>
                <w:ilvl w:val="0"/>
                <w:numId w:val="2"/>
              </w:numPr>
              <w:spacing w:before="60" w:after="60"/>
            </w:pPr>
            <w:r>
              <w:rPr>
                <w:rFonts w:ascii="Arial" w:cs="Arial" w:eastAsia="Arial" w:hAnsi="Arial"/>
                <w:b w:val="false"/>
                <w:bCs w:val="false"/>
                <w:color w:val="1A1A2E"/>
                <w:sz w:val="22"/>
                <w:szCs w:val="22"/>
              </w:rPr>
              <w:t xml:space="preserve">ICD-11 mapping makes risk outputs clinically interpretable</w:t>
            </w:r>
          </w:p>
          <w:p>
            <w:pPr>
              <w:pStyle w:val="ListParagraph"/>
              <w:numPr>
                <w:ilvl w:val="0"/>
                <w:numId w:val="2"/>
              </w:numPr>
              <w:spacing w:before="60" w:after="60"/>
            </w:pPr>
            <w:r>
              <w:rPr>
                <w:rFonts w:ascii="Arial" w:cs="Arial" w:eastAsia="Arial" w:hAnsi="Arial"/>
                <w:b w:val="false"/>
                <w:bCs w:val="false"/>
                <w:color w:val="1A1A2E"/>
                <w:sz w:val="22"/>
                <w:szCs w:val="22"/>
              </w:rPr>
              <w:t xml:space="preserve">Rule triggers are documented and reviewable by clinical supervisors</w:t>
            </w:r>
          </w:p>
          <w:p>
            <w:pPr>
              <w:pStyle w:val="ListParagraph"/>
              <w:numPr>
                <w:ilvl w:val="0"/>
                <w:numId w:val="2"/>
              </w:numPr>
              <w:spacing w:before="60" w:after="60"/>
            </w:pPr>
            <w:r>
              <w:rPr>
                <w:rFonts w:ascii="Arial" w:cs="Arial" w:eastAsia="Arial" w:hAnsi="Arial"/>
                <w:b w:val="false"/>
                <w:bCs w:val="false"/>
                <w:color w:val="1A1A2E"/>
                <w:sz w:val="22"/>
                <w:szCs w:val="22"/>
              </w:rPr>
              <w:t xml:space="preserve">Model version control and audit trail maintained</w:t>
            </w:r>
          </w:p>
        </w:tc>
      </w:tr>
    </w:tbl>
    <w:p>
      <w:pPr>
        <w:spacing w:before="200" w:after="0"/>
      </w:pPr>
      <w:r>
        <w:t xml:space="preserve"/>
      </w:r>
    </w:p>
    <w:p>
      <w:pPr>
        <w:pStyle w:val="Heading1"/>
        <w:pBdr>
          <w:bottom w:val="single" w:color="007B85" w:sz="4" w:space="6"/>
        </w:pBdr>
        <w:spacing w:before="400" w:after="200"/>
      </w:pPr>
      <w:r>
        <w:rPr>
          <w:rFonts w:ascii="Arial" w:cs="Arial" w:eastAsia="Arial" w:hAnsi="Arial"/>
          <w:b/>
          <w:bCs/>
          <w:color w:val="007B85"/>
          <w:sz w:val="32"/>
          <w:szCs w:val="32"/>
        </w:rPr>
        <w:t xml:space="preserve">12. Open Questions and Next Steps</w:t>
      </w:r>
    </w:p>
    <w:p>
      <w:pPr>
        <w:spacing w:before="80" w:after="80"/>
      </w:pPr>
      <w:r>
        <w:rPr>
          <w:rFonts w:ascii="Arial" w:cs="Arial" w:eastAsia="Arial" w:hAnsi="Arial"/>
          <w:color w:val="1A1A2E"/>
          <w:sz w:val="22"/>
          <w:szCs w:val="22"/>
        </w:rPr>
        <w:t xml:space="preserve">The following items require further definition as the project develops through the AI4SID Accelerator Programme.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F4F5" w:val="clear"/>
            <w:tcMar>
              <w:top w:type="dxa" w:w="160"/>
              <w:left w:type="dxa" w:w="240"/>
              <w:bottom w:type="dxa" w:w="160"/>
              <w:right w:type="dxa" w:w="240"/>
            </w:tcMar>
          </w:tcPr>
          <w:p>
            <w:pPr>
              <w:spacing w:before="40" w:after="80"/>
            </w:pPr>
            <w:r>
              <w:rPr>
                <w:rFonts w:ascii="Arial" w:cs="Arial" w:eastAsia="Arial" w:hAnsi="Arial"/>
                <w:b/>
                <w:bCs/>
                <w:color w:val="007B85"/>
                <w:sz w:val="24"/>
                <w:szCs w:val="24"/>
              </w:rPr>
              <w:t xml:space="preserve">Open Questions</w:t>
            </w:r>
          </w:p>
          <w:p>
            <w:pPr>
              <w:pStyle w:val="ListParagraph"/>
              <w:numPr>
                <w:ilvl w:val="0"/>
                <w:numId w:val="2"/>
              </w:numPr>
              <w:spacing w:before="60" w:after="60"/>
            </w:pPr>
            <w:r>
              <w:rPr>
                <w:rFonts w:ascii="Arial" w:cs="Arial" w:eastAsia="Arial" w:hAnsi="Arial"/>
                <w:b w:val="false"/>
                <w:bCs w:val="false"/>
                <w:color w:val="1A1A2E"/>
                <w:sz w:val="22"/>
                <w:szCs w:val="22"/>
              </w:rPr>
              <w:t xml:space="preserve">Dataset: What ANC outcome dataset will be used to train and validate the ML model? (DHIS2 export, NHMIS data, research datasets)</w:t>
            </w:r>
          </w:p>
          <w:p>
            <w:pPr>
              <w:pStyle w:val="ListParagraph"/>
              <w:numPr>
                <w:ilvl w:val="0"/>
                <w:numId w:val="2"/>
              </w:numPr>
              <w:spacing w:before="60" w:after="60"/>
            </w:pPr>
            <w:r>
              <w:rPr>
                <w:rFonts w:ascii="Arial" w:cs="Arial" w:eastAsia="Arial" w:hAnsi="Arial"/>
                <w:b w:val="false"/>
                <w:bCs w:val="false"/>
                <w:color w:val="1A1A2E"/>
                <w:sz w:val="22"/>
                <w:szCs w:val="22"/>
              </w:rPr>
              <w:t xml:space="preserve">Facility Partners: Which facilities will serve as pilot sites? What EMR systems do they use?</w:t>
            </w:r>
          </w:p>
          <w:p>
            <w:pPr>
              <w:pStyle w:val="ListParagraph"/>
              <w:numPr>
                <w:ilvl w:val="0"/>
                <w:numId w:val="2"/>
              </w:numPr>
              <w:spacing w:before="60" w:after="60"/>
            </w:pPr>
            <w:r>
              <w:rPr>
                <w:rFonts w:ascii="Arial" w:cs="Arial" w:eastAsia="Arial" w:hAnsi="Arial"/>
                <w:b w:val="false"/>
                <w:bCs w:val="false"/>
                <w:color w:val="1A1A2E"/>
                <w:sz w:val="22"/>
                <w:szCs w:val="22"/>
              </w:rPr>
              <w:t xml:space="preserve">WhatsApp Registration Flow: How is mother enrollment triggered at ANC contact? Who captures the phone number?</w:t>
            </w:r>
          </w:p>
          <w:p>
            <w:pPr>
              <w:pStyle w:val="ListParagraph"/>
              <w:numPr>
                <w:ilvl w:val="0"/>
                <w:numId w:val="2"/>
              </w:numPr>
              <w:spacing w:before="60" w:after="60"/>
            </w:pPr>
            <w:r>
              <w:rPr>
                <w:rFonts w:ascii="Arial" w:cs="Arial" w:eastAsia="Arial" w:hAnsi="Arial"/>
                <w:b w:val="false"/>
                <w:bCs w:val="false"/>
                <w:color w:val="1A1A2E"/>
                <w:sz w:val="22"/>
                <w:szCs w:val="22"/>
              </w:rPr>
              <w:t xml:space="preserve">Offline Functionality: What is the minimum viable offline mode for facilities with intermittent connectivity?</w:t>
            </w:r>
          </w:p>
          <w:p>
            <w:pPr>
              <w:pStyle w:val="ListParagraph"/>
              <w:numPr>
                <w:ilvl w:val="0"/>
                <w:numId w:val="2"/>
              </w:numPr>
              <w:spacing w:before="60" w:after="60"/>
            </w:pPr>
            <w:r>
              <w:rPr>
                <w:rFonts w:ascii="Arial" w:cs="Arial" w:eastAsia="Arial" w:hAnsi="Arial"/>
                <w:b w:val="false"/>
                <w:bCs w:val="false"/>
                <w:color w:val="1A1A2E"/>
                <w:sz w:val="22"/>
                <w:szCs w:val="22"/>
              </w:rPr>
              <w:t xml:space="preserve">Regulatory Pathway: What approvals are needed from FMOH or NAFDAC for AI clinical decision support deployment?</w:t>
            </w:r>
          </w:p>
          <w:p>
            <w:pPr>
              <w:pStyle w:val="ListParagraph"/>
              <w:numPr>
                <w:ilvl w:val="0"/>
                <w:numId w:val="2"/>
              </w:numPr>
              <w:spacing w:before="60" w:after="60"/>
            </w:pPr>
            <w:r>
              <w:rPr>
                <w:rFonts w:ascii="Arial" w:cs="Arial" w:eastAsia="Arial" w:hAnsi="Arial"/>
                <w:b w:val="false"/>
                <w:bCs w:val="false"/>
                <w:color w:val="1A1A2E"/>
                <w:sz w:val="22"/>
                <w:szCs w:val="22"/>
              </w:rPr>
              <w:t xml:space="preserve">Evaluation Framework: What outcomes will measure Abiyamo's impact? (referral rates, maternal outcomes, ANC attendance, newborn mortality)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0E6" w:val="clear"/>
            <w:tcMar>
              <w:top w:type="dxa" w:w="160"/>
              <w:left w:type="dxa" w:w="240"/>
              <w:bottom w:type="dxa" w:w="160"/>
              <w:right w:type="dxa" w:w="240"/>
            </w:tcMar>
          </w:tcPr>
          <w:p>
            <w:pPr>
              <w:spacing w:before="40" w:after="80"/>
            </w:pPr>
            <w:r>
              <w:rPr>
                <w:rFonts w:ascii="Arial" w:cs="Arial" w:eastAsia="Arial" w:hAnsi="Arial"/>
                <w:b/>
                <w:bCs/>
                <w:color w:val="E8620A"/>
                <w:sz w:val="24"/>
                <w:szCs w:val="24"/>
              </w:rPr>
              <w:t xml:space="preserve">Immediate Next Steps</w:t>
            </w:r>
          </w:p>
          <w:p>
            <w:pPr>
              <w:pStyle w:val="ListParagraph"/>
              <w:numPr>
                <w:ilvl w:val="0"/>
                <w:numId w:val="2"/>
              </w:numPr>
              <w:spacing w:before="60" w:after="60"/>
            </w:pPr>
            <w:r>
              <w:rPr>
                <w:rFonts w:ascii="Arial" w:cs="Arial" w:eastAsia="Arial" w:hAnsi="Arial"/>
                <w:b w:val="false"/>
                <w:bCs w:val="false"/>
                <w:color w:val="1A1A2E"/>
                <w:sz w:val="22"/>
                <w:szCs w:val="22"/>
              </w:rPr>
              <w:t xml:space="preserve">Finalise input variable list and clinical threshold rules with a clinical reviewer</w:t>
            </w:r>
          </w:p>
          <w:p>
            <w:pPr>
              <w:pStyle w:val="ListParagraph"/>
              <w:numPr>
                <w:ilvl w:val="0"/>
                <w:numId w:val="2"/>
              </w:numPr>
              <w:spacing w:before="60" w:after="60"/>
            </w:pPr>
            <w:r>
              <w:rPr>
                <w:rFonts w:ascii="Arial" w:cs="Arial" w:eastAsia="Arial" w:hAnsi="Arial"/>
                <w:b w:val="false"/>
                <w:bCs w:val="false"/>
                <w:color w:val="1A1A2E"/>
                <w:sz w:val="22"/>
                <w:szCs w:val="22"/>
              </w:rPr>
              <w:t xml:space="preserve">Source and clean an ANC dataset for model training (synthetic or real)</w:t>
            </w:r>
          </w:p>
          <w:p>
            <w:pPr>
              <w:pStyle w:val="ListParagraph"/>
              <w:numPr>
                <w:ilvl w:val="0"/>
                <w:numId w:val="2"/>
              </w:numPr>
              <w:spacing w:before="60" w:after="60"/>
            </w:pPr>
            <w:r>
              <w:rPr>
                <w:rFonts w:ascii="Arial" w:cs="Arial" w:eastAsia="Arial" w:hAnsi="Arial"/>
                <w:b w:val="false"/>
                <w:bCs w:val="false"/>
                <w:color w:val="1A1A2E"/>
                <w:sz w:val="22"/>
                <w:szCs w:val="22"/>
              </w:rPr>
              <w:t xml:space="preserve">Build the rule-based scoring prototype in Python</w:t>
            </w:r>
          </w:p>
          <w:p>
            <w:pPr>
              <w:pStyle w:val="ListParagraph"/>
              <w:numPr>
                <w:ilvl w:val="0"/>
                <w:numId w:val="2"/>
              </w:numPr>
              <w:spacing w:before="60" w:after="60"/>
            </w:pPr>
            <w:r>
              <w:rPr>
                <w:rFonts w:ascii="Arial" w:cs="Arial" w:eastAsia="Arial" w:hAnsi="Arial"/>
                <w:b w:val="false"/>
                <w:bCs w:val="false"/>
                <w:color w:val="1A1A2E"/>
                <w:sz w:val="22"/>
                <w:szCs w:val="22"/>
              </w:rPr>
              <w:t xml:space="preserve">Set up DHIS2 API sandbox environment for integration testing</w:t>
            </w:r>
          </w:p>
          <w:p>
            <w:pPr>
              <w:pStyle w:val="ListParagraph"/>
              <w:numPr>
                <w:ilvl w:val="0"/>
                <w:numId w:val="2"/>
              </w:numPr>
              <w:spacing w:before="60" w:after="60"/>
            </w:pPr>
            <w:r>
              <w:rPr>
                <w:rFonts w:ascii="Arial" w:cs="Arial" w:eastAsia="Arial" w:hAnsi="Arial"/>
                <w:b w:val="false"/>
                <w:bCs w:val="false"/>
                <w:color w:val="1A1A2E"/>
                <w:sz w:val="22"/>
                <w:szCs w:val="22"/>
              </w:rPr>
              <w:t xml:space="preserve">Draft WhatsApp message content library in English and Pidgin</w:t>
            </w:r>
          </w:p>
          <w:p>
            <w:pPr>
              <w:pStyle w:val="ListParagraph"/>
              <w:numPr>
                <w:ilvl w:val="0"/>
                <w:numId w:val="2"/>
              </w:numPr>
              <w:spacing w:before="60" w:after="60"/>
            </w:pPr>
            <w:r>
              <w:rPr>
                <w:rFonts w:ascii="Arial" w:cs="Arial" w:eastAsia="Arial" w:hAnsi="Arial"/>
                <w:b w:val="false"/>
                <w:bCs w:val="false"/>
                <w:color w:val="1A1A2E"/>
                <w:sz w:val="22"/>
                <w:szCs w:val="22"/>
              </w:rPr>
              <w:t xml:space="preserve">Register Abiyamo as a capstone project with AI4SID and align with programme milestones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00"/>
              <w:left w:type="dxa" w:w="300"/>
              <w:bottom w:type="dxa" w:w="200"/>
              <w:right w:type="dxa" w:w="300"/>
            </w:tcMar>
          </w:tcPr>
          <w:p>
            <w:pPr>
              <w:spacing w:before="0" w:after="80"/>
              <w:jc w:val="center"/>
            </w:pPr>
            <w:r>
              <w:rPr>
                <w:rFonts w:ascii="Arial" w:cs="Arial" w:eastAsia="Arial" w:hAnsi="Arial"/>
                <w:b/>
                <w:bCs/>
                <w:color w:val="FFFFFF"/>
                <w:sz w:val="28"/>
                <w:szCs w:val="28"/>
              </w:rPr>
              <w:t xml:space="preserve">ABIYAMO</w:t>
            </w:r>
          </w:p>
          <w:p>
            <w:pPr>
              <w:jc w:val="center"/>
            </w:pPr>
            <w:r>
              <w:rPr>
                <w:rFonts w:ascii="Arial" w:cs="Arial" w:eastAsia="Arial" w:hAnsi="Arial"/>
                <w:i/>
                <w:iCs/>
                <w:color w:val="AAAACC"/>
                <w:sz w:val="18"/>
                <w:szCs w:val="18"/>
              </w:rPr>
              <w:t xml:space="preserve">AI Companion for Safe Pregnancy and Healthy Newborns  |  AI4SID Accelerator Programme  |  Version 1.0</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B85" w:sz="2" w:space="6"/>
      </w:pBdr>
      <w:jc w:val="center"/>
    </w:pPr>
    <w:r>
      <w:rPr>
        <w:rFonts w:ascii="Arial" w:cs="Arial" w:eastAsia="Arial" w:hAnsi="Arial"/>
        <w:color w:val="888888"/>
        <w:sz w:val="18"/>
        <w:szCs w:val="18"/>
      </w:rPr>
      <w:t xml:space="preserve">ABIYAMO  |  System Thinking Document  |  Version 1.0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7B85"/>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2026-03-09T22:28:17.712Z</dcterms:created>
  <dcterms:modified xsi:type="dcterms:W3CDTF">2026-03-09T22:28:17.713Z</dcterms:modified>
</cp:coreProperties>
</file>

<file path=docProps/custom.xml><?xml version="1.0" encoding="utf-8"?>
<Properties xmlns="http://schemas.openxmlformats.org/officeDocument/2006/custom-properties" xmlns:vt="http://schemas.openxmlformats.org/officeDocument/2006/docPropsVTypes"/>
</file>