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6E620" w14:textId="0A025715" w:rsidR="007C3B91" w:rsidRDefault="007C3B91" w:rsidP="007C3B91"/>
    <w:p w14:paraId="1177277B" w14:textId="77777777" w:rsidR="007C3B91" w:rsidRDefault="007C3B91" w:rsidP="007C3B91"/>
    <w:p w14:paraId="23324299" w14:textId="77777777" w:rsidR="007C3B91" w:rsidRPr="007C3B91" w:rsidRDefault="007C3B91" w:rsidP="007C3B91">
      <w:pPr>
        <w:jc w:val="center"/>
        <w:rPr>
          <w:b/>
          <w:bCs/>
          <w:sz w:val="48"/>
          <w:szCs w:val="48"/>
        </w:rPr>
      </w:pPr>
      <w:r w:rsidRPr="007C3B91">
        <w:rPr>
          <w:b/>
          <w:bCs/>
          <w:sz w:val="48"/>
          <w:szCs w:val="48"/>
        </w:rPr>
        <w:t>Business Insights &amp; Recommendations Report</w:t>
      </w:r>
    </w:p>
    <w:p w14:paraId="5A31A1CD" w14:textId="77777777" w:rsidR="007C3B91" w:rsidRDefault="007C3B91" w:rsidP="007C3B91"/>
    <w:p w14:paraId="3D19147B" w14:textId="77777777" w:rsidR="007C3B91" w:rsidRPr="007C3B91" w:rsidRDefault="007C3B91" w:rsidP="007C3B91">
      <w:pPr>
        <w:rPr>
          <w:rFonts w:ascii="Aptos" w:hAnsi="Aptos"/>
        </w:rPr>
      </w:pPr>
      <w:r w:rsidRPr="007C3B91">
        <w:rPr>
          <w:rFonts w:ascii="Aptos" w:hAnsi="Aptos"/>
        </w:rPr>
        <w:t>1. Overview</w:t>
      </w:r>
    </w:p>
    <w:p w14:paraId="063398D1" w14:textId="77777777" w:rsidR="007C3B91" w:rsidRPr="007C3B91" w:rsidRDefault="007C3B91" w:rsidP="007C3B91">
      <w:pPr>
        <w:rPr>
          <w:rFonts w:ascii="Aptos" w:hAnsi="Aptos"/>
        </w:rPr>
      </w:pPr>
    </w:p>
    <w:p w14:paraId="5E22A627" w14:textId="3523D85A" w:rsidR="007C3B91" w:rsidRPr="007C3B91" w:rsidRDefault="007C3B91" w:rsidP="007C3B91">
      <w:pPr>
        <w:rPr>
          <w:rFonts w:ascii="Aptos" w:hAnsi="Aptos"/>
        </w:rPr>
      </w:pPr>
      <w:r w:rsidRPr="007C3B91">
        <w:rPr>
          <w:rFonts w:ascii="Aptos" w:hAnsi="Aptos"/>
        </w:rPr>
        <w:t>The Week 3 analysis of the Sample Superstore dataset focused on advanced business analysis, KPI development, profitability, product performance, regional performance, customer segments, and time-based trends.</w:t>
      </w:r>
    </w:p>
    <w:p w14:paraId="724D0B78" w14:textId="77777777" w:rsidR="007C3B91" w:rsidRPr="007C3B91" w:rsidRDefault="007C3B91" w:rsidP="007C3B91">
      <w:pPr>
        <w:rPr>
          <w:rFonts w:ascii="Aptos" w:hAnsi="Aptos"/>
        </w:rPr>
      </w:pPr>
      <w:r w:rsidRPr="007C3B91">
        <w:rPr>
          <w:rFonts w:ascii="Aptos" w:hAnsi="Aptos"/>
        </w:rPr>
        <w:t>The analysis identified strong overall growth alongside specific areas of profitability concern.</w:t>
      </w:r>
    </w:p>
    <w:p w14:paraId="10BDEA9D" w14:textId="77777777" w:rsidR="007C3B91" w:rsidRPr="007C3B91" w:rsidRDefault="007C3B91" w:rsidP="007C3B91">
      <w:pPr>
        <w:rPr>
          <w:rFonts w:ascii="Aptos" w:hAnsi="Aptos"/>
        </w:rPr>
      </w:pPr>
    </w:p>
    <w:p w14:paraId="4BF49A88" w14:textId="5C5158CF" w:rsidR="007C3B91" w:rsidRPr="007C3B91" w:rsidRDefault="007C3B91" w:rsidP="007C3B91">
      <w:pPr>
        <w:rPr>
          <w:rFonts w:ascii="Aptos" w:hAnsi="Aptos"/>
        </w:rPr>
      </w:pPr>
    </w:p>
    <w:p w14:paraId="01D93FAF" w14:textId="77777777" w:rsidR="007C3B91" w:rsidRPr="007C3B91" w:rsidRDefault="007C3B91" w:rsidP="007C3B91">
      <w:pPr>
        <w:rPr>
          <w:rFonts w:ascii="Aptos" w:hAnsi="Aptos"/>
        </w:rPr>
      </w:pPr>
    </w:p>
    <w:p w14:paraId="066CBBC0" w14:textId="77777777" w:rsidR="007C3B91" w:rsidRPr="007C3B91" w:rsidRDefault="007C3B91" w:rsidP="007C3B91">
      <w:pPr>
        <w:rPr>
          <w:rFonts w:ascii="Aptos" w:hAnsi="Aptos"/>
          <w:b/>
          <w:bCs/>
          <w:sz w:val="28"/>
          <w:szCs w:val="28"/>
        </w:rPr>
      </w:pPr>
      <w:r w:rsidRPr="007C3B91">
        <w:rPr>
          <w:rFonts w:ascii="Aptos" w:hAnsi="Aptos"/>
          <w:b/>
          <w:bCs/>
          <w:sz w:val="28"/>
          <w:szCs w:val="28"/>
        </w:rPr>
        <w:t>2. Key Business Insights</w:t>
      </w:r>
    </w:p>
    <w:p w14:paraId="146B5772" w14:textId="77777777" w:rsidR="007C3B91" w:rsidRPr="007C3B91" w:rsidRDefault="007C3B91" w:rsidP="007C3B91">
      <w:pPr>
        <w:rPr>
          <w:rFonts w:ascii="Aptos" w:hAnsi="Aptos"/>
        </w:rPr>
      </w:pPr>
    </w:p>
    <w:p w14:paraId="1537A93B" w14:textId="70F6B66E" w:rsidR="007C3B91" w:rsidRPr="007C3B91" w:rsidRDefault="007C3B91" w:rsidP="007C3B91">
      <w:pPr>
        <w:rPr>
          <w:rFonts w:ascii="Aptos" w:hAnsi="Aptos"/>
          <w:b/>
          <w:bCs/>
        </w:rPr>
      </w:pPr>
      <w:r w:rsidRPr="007C3B91">
        <w:rPr>
          <w:rFonts w:ascii="Aptos" w:hAnsi="Aptos"/>
          <w:b/>
          <w:bCs/>
        </w:rPr>
        <w:t>Insight 1 — Strong Sales Growth</w:t>
      </w:r>
    </w:p>
    <w:p w14:paraId="1363F29C" w14:textId="77777777" w:rsidR="007C3B91" w:rsidRPr="007C3B91" w:rsidRDefault="007C3B91" w:rsidP="007C3B91">
      <w:pPr>
        <w:rPr>
          <w:rFonts w:ascii="Aptos" w:hAnsi="Aptos"/>
        </w:rPr>
      </w:pPr>
      <w:r w:rsidRPr="007C3B91">
        <w:rPr>
          <w:rFonts w:ascii="Aptos" w:hAnsi="Aptos"/>
        </w:rPr>
        <w:t>The business recorded 46.88% Sales Growth, indicating a substantial improvement in sales performance compared with the previous period.</w:t>
      </w:r>
    </w:p>
    <w:p w14:paraId="7C5F0AA8" w14:textId="77777777" w:rsidR="007C3B91" w:rsidRPr="007C3B91" w:rsidRDefault="007C3B91" w:rsidP="007C3B91">
      <w:pPr>
        <w:rPr>
          <w:rFonts w:ascii="Aptos" w:hAnsi="Aptos"/>
        </w:rPr>
      </w:pPr>
    </w:p>
    <w:p w14:paraId="6A553A86" w14:textId="4ACBF3B5" w:rsidR="007C3B91" w:rsidRPr="007C3B91" w:rsidRDefault="007C3B91" w:rsidP="007C3B91">
      <w:pPr>
        <w:rPr>
          <w:rFonts w:ascii="Aptos" w:hAnsi="Aptos"/>
          <w:b/>
          <w:bCs/>
        </w:rPr>
      </w:pPr>
      <w:r w:rsidRPr="007C3B91">
        <w:rPr>
          <w:rFonts w:ascii="Aptos" w:hAnsi="Aptos"/>
          <w:b/>
          <w:bCs/>
        </w:rPr>
        <w:t>Insight 2 — Profit Growth Outpaced Sales Growth</w:t>
      </w:r>
    </w:p>
    <w:p w14:paraId="0B15FE3D" w14:textId="5399B545" w:rsidR="007C3B91" w:rsidRDefault="007C3B91" w:rsidP="007C3B91">
      <w:pPr>
        <w:rPr>
          <w:rFonts w:ascii="Aptos" w:hAnsi="Aptos"/>
        </w:rPr>
      </w:pPr>
      <w:r w:rsidRPr="007C3B91">
        <w:rPr>
          <w:rFonts w:ascii="Aptos" w:hAnsi="Aptos"/>
        </w:rPr>
        <w:t>Profit Growth reached 48.42%, slightly exceeding Sales Growth of 46.88%. This indicates that profit increased at a slightly faster rate than sales.</w:t>
      </w:r>
    </w:p>
    <w:p w14:paraId="7FB229B3" w14:textId="77777777" w:rsidR="007C3B91" w:rsidRPr="007C3B91" w:rsidRDefault="007C3B91" w:rsidP="007C3B91">
      <w:pPr>
        <w:rPr>
          <w:rFonts w:ascii="Aptos" w:hAnsi="Aptos"/>
        </w:rPr>
      </w:pPr>
    </w:p>
    <w:p w14:paraId="71FCB4C4" w14:textId="06AFB1A7" w:rsidR="007C3B91" w:rsidRPr="007C3B91" w:rsidRDefault="007C3B91" w:rsidP="007C3B91">
      <w:pPr>
        <w:rPr>
          <w:rFonts w:ascii="Aptos" w:hAnsi="Aptos"/>
          <w:b/>
          <w:bCs/>
        </w:rPr>
      </w:pPr>
      <w:r w:rsidRPr="007C3B91">
        <w:rPr>
          <w:rFonts w:ascii="Aptos" w:hAnsi="Aptos"/>
          <w:b/>
          <w:bCs/>
        </w:rPr>
        <w:t>Insight 3 — Consumer Segment Drives Sales</w:t>
      </w:r>
    </w:p>
    <w:p w14:paraId="211D52B7" w14:textId="5E4B1D69" w:rsidR="007C3B91" w:rsidRPr="007C3B91" w:rsidRDefault="007C3B91" w:rsidP="007C3B91">
      <w:pPr>
        <w:rPr>
          <w:rFonts w:ascii="Aptos" w:hAnsi="Aptos"/>
        </w:rPr>
      </w:pPr>
      <w:r w:rsidRPr="007C3B91">
        <w:rPr>
          <w:rFonts w:ascii="Aptos" w:hAnsi="Aptos"/>
        </w:rPr>
        <w:t>The Consumer segment generated 1.16M in sales, representing 50.56% of total sales. Corporate contributed 30.74%, while Home Office contributed 18.70%.</w:t>
      </w:r>
    </w:p>
    <w:p w14:paraId="7CFB0D8B" w14:textId="77777777" w:rsidR="007C3B91" w:rsidRPr="007C3B91" w:rsidRDefault="007C3B91" w:rsidP="007C3B91">
      <w:pPr>
        <w:rPr>
          <w:rFonts w:ascii="Aptos" w:hAnsi="Aptos"/>
        </w:rPr>
      </w:pPr>
      <w:r w:rsidRPr="007C3B91">
        <w:rPr>
          <w:rFonts w:ascii="Aptos" w:hAnsi="Aptos"/>
        </w:rPr>
        <w:lastRenderedPageBreak/>
        <w:t>This makes Consumer the largest contributor to sales.</w:t>
      </w:r>
    </w:p>
    <w:p w14:paraId="4643903F" w14:textId="77777777" w:rsidR="007C3B91" w:rsidRPr="007C3B91" w:rsidRDefault="007C3B91" w:rsidP="007C3B91">
      <w:pPr>
        <w:rPr>
          <w:rFonts w:ascii="Aptos" w:hAnsi="Aptos"/>
        </w:rPr>
      </w:pPr>
    </w:p>
    <w:p w14:paraId="3D65E592" w14:textId="7B78A47C" w:rsidR="007C3B91" w:rsidRPr="007C3B91" w:rsidRDefault="007C3B91" w:rsidP="007C3B91">
      <w:pPr>
        <w:rPr>
          <w:rFonts w:ascii="Aptos" w:hAnsi="Aptos"/>
          <w:b/>
          <w:bCs/>
        </w:rPr>
      </w:pPr>
      <w:r w:rsidRPr="007C3B91">
        <w:rPr>
          <w:rFonts w:ascii="Aptos" w:hAnsi="Aptos"/>
          <w:b/>
          <w:bCs/>
        </w:rPr>
        <w:t>Insight 4 — Central Region Is Underperforming</w:t>
      </w:r>
    </w:p>
    <w:p w14:paraId="6806ED95" w14:textId="07F92121" w:rsidR="007C3B91" w:rsidRPr="007C3B91" w:rsidRDefault="007C3B91" w:rsidP="007C3B91">
      <w:pPr>
        <w:rPr>
          <w:rFonts w:ascii="Aptos" w:hAnsi="Aptos"/>
        </w:rPr>
      </w:pPr>
      <w:r w:rsidRPr="007C3B91">
        <w:rPr>
          <w:rFonts w:ascii="Aptos" w:hAnsi="Aptos"/>
        </w:rPr>
        <w:t>The Central region recorded -39,706.36 in profit, making it the weakest-performing region based on profitability.</w:t>
      </w:r>
    </w:p>
    <w:p w14:paraId="6CD551E8" w14:textId="77777777" w:rsidR="007C3B91" w:rsidRPr="007C3B91" w:rsidRDefault="007C3B91" w:rsidP="007C3B91">
      <w:pPr>
        <w:rPr>
          <w:rFonts w:ascii="Aptos" w:hAnsi="Aptos"/>
        </w:rPr>
      </w:pPr>
      <w:r w:rsidRPr="007C3B91">
        <w:rPr>
          <w:rFonts w:ascii="Aptos" w:hAnsi="Aptos"/>
        </w:rPr>
        <w:t>This represents an important opportunity for management to investigate regional performance.</w:t>
      </w:r>
    </w:p>
    <w:p w14:paraId="4EB416E2" w14:textId="77777777" w:rsidR="007C3B91" w:rsidRPr="007C3B91" w:rsidRDefault="007C3B91" w:rsidP="007C3B91">
      <w:pPr>
        <w:rPr>
          <w:rFonts w:ascii="Aptos" w:hAnsi="Aptos"/>
        </w:rPr>
      </w:pPr>
    </w:p>
    <w:p w14:paraId="15B71C0D" w14:textId="1B6375CE" w:rsidR="007C3B91" w:rsidRPr="007C3B91" w:rsidRDefault="007C3B91" w:rsidP="007C3B91">
      <w:pPr>
        <w:rPr>
          <w:rFonts w:ascii="Aptos" w:hAnsi="Aptos"/>
          <w:b/>
          <w:bCs/>
        </w:rPr>
      </w:pPr>
      <w:r w:rsidRPr="007C3B91">
        <w:rPr>
          <w:rFonts w:ascii="Aptos" w:hAnsi="Aptos"/>
          <w:b/>
          <w:bCs/>
        </w:rPr>
        <w:t>Insight 5 — Furniture Category Has a Profitability Problem</w:t>
      </w:r>
    </w:p>
    <w:p w14:paraId="3DD4B0AE" w14:textId="51AB1BED" w:rsidR="007C3B91" w:rsidRPr="007C3B91" w:rsidRDefault="007C3B91" w:rsidP="007C3B91">
      <w:pPr>
        <w:rPr>
          <w:rFonts w:ascii="Aptos" w:hAnsi="Aptos"/>
        </w:rPr>
      </w:pPr>
      <w:r w:rsidRPr="007C3B91">
        <w:rPr>
          <w:rFonts w:ascii="Aptos" w:hAnsi="Aptos"/>
        </w:rPr>
        <w:t>The Furniture category recorded -18,451.27 in profit, making it the lowest-profit category.</w:t>
      </w:r>
    </w:p>
    <w:p w14:paraId="238AE0CC" w14:textId="77777777" w:rsidR="007C3B91" w:rsidRPr="007C3B91" w:rsidRDefault="007C3B91" w:rsidP="007C3B91">
      <w:pPr>
        <w:rPr>
          <w:rFonts w:ascii="Aptos" w:hAnsi="Aptos"/>
        </w:rPr>
      </w:pPr>
      <w:r w:rsidRPr="007C3B91">
        <w:rPr>
          <w:rFonts w:ascii="Aptos" w:hAnsi="Aptos"/>
        </w:rPr>
        <w:t>This suggests that some products within the category may require closer examination of pricing, costs, discounts, and sales performance.</w:t>
      </w:r>
    </w:p>
    <w:p w14:paraId="21DEC6EE" w14:textId="77777777" w:rsidR="007C3B91" w:rsidRPr="007C3B91" w:rsidRDefault="007C3B91" w:rsidP="007C3B91">
      <w:pPr>
        <w:rPr>
          <w:rFonts w:ascii="Aptos" w:hAnsi="Aptos"/>
        </w:rPr>
      </w:pPr>
    </w:p>
    <w:p w14:paraId="77345EFD" w14:textId="316F718A" w:rsidR="007C3B91" w:rsidRPr="007C3B91" w:rsidRDefault="007C3B91" w:rsidP="007C3B91">
      <w:pPr>
        <w:rPr>
          <w:rFonts w:ascii="Aptos" w:hAnsi="Aptos"/>
          <w:b/>
          <w:bCs/>
        </w:rPr>
      </w:pPr>
      <w:r w:rsidRPr="007C3B91">
        <w:rPr>
          <w:rFonts w:ascii="Aptos" w:hAnsi="Aptos"/>
          <w:b/>
          <w:bCs/>
        </w:rPr>
        <w:t>Insight 6 — Some Products Generate Significant Losses</w:t>
      </w:r>
    </w:p>
    <w:p w14:paraId="57FA2313" w14:textId="7503E4DA" w:rsidR="007C3B91" w:rsidRPr="007C3B91" w:rsidRDefault="007C3B91" w:rsidP="007C3B91">
      <w:pPr>
        <w:rPr>
          <w:rFonts w:ascii="Aptos" w:hAnsi="Aptos"/>
        </w:rPr>
      </w:pPr>
      <w:r w:rsidRPr="007C3B91">
        <w:rPr>
          <w:rFonts w:ascii="Aptos" w:hAnsi="Aptos"/>
        </w:rPr>
        <w:t>Several individual products generated substantial negative profits. The largest identified loss was from the Cubify CubeX 3D Printer Head Print, with a profit of -8,879.97.</w:t>
      </w:r>
    </w:p>
    <w:p w14:paraId="3220622D" w14:textId="77777777" w:rsidR="007C3B91" w:rsidRPr="007C3B91" w:rsidRDefault="007C3B91" w:rsidP="007C3B91">
      <w:pPr>
        <w:rPr>
          <w:rFonts w:ascii="Aptos" w:hAnsi="Aptos"/>
        </w:rPr>
      </w:pPr>
    </w:p>
    <w:p w14:paraId="1F631CC2" w14:textId="77777777" w:rsidR="007C3B91" w:rsidRPr="007C3B91" w:rsidRDefault="007C3B91" w:rsidP="007C3B91">
      <w:pPr>
        <w:rPr>
          <w:rFonts w:ascii="Aptos" w:hAnsi="Aptos"/>
          <w:b/>
          <w:bCs/>
          <w:sz w:val="28"/>
          <w:szCs w:val="28"/>
        </w:rPr>
      </w:pPr>
      <w:r w:rsidRPr="007C3B91">
        <w:rPr>
          <w:rFonts w:ascii="Aptos" w:hAnsi="Aptos"/>
          <w:b/>
          <w:bCs/>
          <w:sz w:val="28"/>
          <w:szCs w:val="28"/>
        </w:rPr>
        <w:t>3. Business Recommendations</w:t>
      </w:r>
    </w:p>
    <w:p w14:paraId="38531219" w14:textId="77777777" w:rsidR="007C3B91" w:rsidRPr="007C3B91" w:rsidRDefault="007C3B91" w:rsidP="007C3B91">
      <w:pPr>
        <w:rPr>
          <w:rFonts w:ascii="Aptos" w:hAnsi="Aptos"/>
        </w:rPr>
      </w:pPr>
    </w:p>
    <w:p w14:paraId="60A11C8B" w14:textId="6FA4FA7A" w:rsidR="007C3B91" w:rsidRPr="007C3B91" w:rsidRDefault="007C3B91" w:rsidP="007C3B91">
      <w:pPr>
        <w:rPr>
          <w:rFonts w:ascii="Aptos" w:hAnsi="Aptos"/>
          <w:b/>
          <w:bCs/>
        </w:rPr>
      </w:pPr>
      <w:r w:rsidRPr="007C3B91">
        <w:rPr>
          <w:rFonts w:ascii="Aptos" w:hAnsi="Aptos"/>
          <w:b/>
          <w:bCs/>
        </w:rPr>
        <w:t>Recommendation 1 — Review Loss-Making Products</w:t>
      </w:r>
    </w:p>
    <w:p w14:paraId="1FD0FC5B" w14:textId="77777777" w:rsidR="007C3B91" w:rsidRPr="007C3B91" w:rsidRDefault="007C3B91" w:rsidP="007C3B91">
      <w:pPr>
        <w:rPr>
          <w:rFonts w:ascii="Aptos" w:hAnsi="Aptos"/>
        </w:rPr>
      </w:pPr>
      <w:r w:rsidRPr="007C3B91">
        <w:rPr>
          <w:rFonts w:ascii="Aptos" w:hAnsi="Aptos"/>
        </w:rPr>
        <w:t>Management should review the pricing, costs, sales volume, and discount practices of products generating significant losses. Consistently unprofitable products should be considered for repricing, cost reduction, or portfolio review.</w:t>
      </w:r>
    </w:p>
    <w:p w14:paraId="2F6DEC34" w14:textId="77777777" w:rsidR="007C3B91" w:rsidRPr="007C3B91" w:rsidRDefault="007C3B91" w:rsidP="007C3B91">
      <w:pPr>
        <w:rPr>
          <w:rFonts w:ascii="Aptos" w:hAnsi="Aptos"/>
        </w:rPr>
      </w:pPr>
    </w:p>
    <w:p w14:paraId="760CEB55" w14:textId="7FF185BF" w:rsidR="007C3B91" w:rsidRPr="007C3B91" w:rsidRDefault="007C3B91" w:rsidP="007C3B91">
      <w:pPr>
        <w:rPr>
          <w:rFonts w:ascii="Aptos" w:hAnsi="Aptos"/>
          <w:b/>
          <w:bCs/>
        </w:rPr>
      </w:pPr>
      <w:r w:rsidRPr="007C3B91">
        <w:rPr>
          <w:rFonts w:ascii="Aptos" w:hAnsi="Aptos"/>
          <w:b/>
          <w:bCs/>
        </w:rPr>
        <w:t>Recommendation 2 — Improve Central Region Performance</w:t>
      </w:r>
    </w:p>
    <w:p w14:paraId="68AD1A6E" w14:textId="77777777" w:rsidR="007C3B91" w:rsidRPr="007C3B91" w:rsidRDefault="007C3B91" w:rsidP="007C3B91">
      <w:pPr>
        <w:rPr>
          <w:rFonts w:ascii="Aptos" w:hAnsi="Aptos"/>
        </w:rPr>
      </w:pPr>
      <w:r w:rsidRPr="007C3B91">
        <w:rPr>
          <w:rFonts w:ascii="Aptos" w:hAnsi="Aptos"/>
        </w:rPr>
        <w:t>The Central region should receive targeted attention. Management should investigate its product mix, pricing, sales volume, discounts, and operating costs to determine the causes of its negative profitability.</w:t>
      </w:r>
    </w:p>
    <w:p w14:paraId="53DBE638" w14:textId="77777777" w:rsidR="007C3B91" w:rsidRPr="007C3B91" w:rsidRDefault="007C3B91" w:rsidP="007C3B91">
      <w:pPr>
        <w:rPr>
          <w:rFonts w:ascii="Aptos" w:hAnsi="Aptos"/>
        </w:rPr>
      </w:pPr>
    </w:p>
    <w:p w14:paraId="6685B570" w14:textId="5B7BB96D" w:rsidR="007C3B91" w:rsidRPr="007C3B91" w:rsidRDefault="007C3B91" w:rsidP="007C3B91">
      <w:pPr>
        <w:rPr>
          <w:rFonts w:ascii="Aptos" w:hAnsi="Aptos"/>
          <w:b/>
          <w:bCs/>
        </w:rPr>
      </w:pPr>
      <w:r w:rsidRPr="007C3B91">
        <w:rPr>
          <w:rFonts w:ascii="Aptos" w:hAnsi="Aptos"/>
          <w:b/>
          <w:bCs/>
        </w:rPr>
        <w:t>Recommendation 3 — Reassess the Furniture Category</w:t>
      </w:r>
    </w:p>
    <w:p w14:paraId="328E7CEE" w14:textId="77777777" w:rsidR="007C3B91" w:rsidRPr="007C3B91" w:rsidRDefault="007C3B91" w:rsidP="007C3B91">
      <w:pPr>
        <w:rPr>
          <w:rFonts w:ascii="Aptos" w:hAnsi="Aptos"/>
        </w:rPr>
      </w:pPr>
      <w:r w:rsidRPr="007C3B91">
        <w:rPr>
          <w:rFonts w:ascii="Aptos" w:hAnsi="Aptos"/>
        </w:rPr>
        <w:t>The Furniture category should be analysed at product level to identify the products responsible for its negative profitability. Underperforming products should be reviewed while profitable products should receive greater focus.</w:t>
      </w:r>
    </w:p>
    <w:p w14:paraId="1F5B77E0" w14:textId="77777777" w:rsidR="007C3B91" w:rsidRPr="007C3B91" w:rsidRDefault="007C3B91" w:rsidP="007C3B91">
      <w:pPr>
        <w:rPr>
          <w:rFonts w:ascii="Aptos" w:hAnsi="Aptos"/>
          <w:b/>
          <w:bCs/>
        </w:rPr>
      </w:pPr>
    </w:p>
    <w:p w14:paraId="4B09D9F9" w14:textId="2043936E" w:rsidR="007C3B91" w:rsidRPr="007C3B91" w:rsidRDefault="007C3B91" w:rsidP="007C3B91">
      <w:pPr>
        <w:rPr>
          <w:rFonts w:ascii="Aptos" w:hAnsi="Aptos"/>
        </w:rPr>
      </w:pPr>
      <w:r w:rsidRPr="007C3B91">
        <w:rPr>
          <w:rFonts w:ascii="Aptos" w:hAnsi="Aptos"/>
          <w:b/>
          <w:bCs/>
        </w:rPr>
        <w:t>Recommendation 4 — Maintain Profitable Growth</w:t>
      </w:r>
    </w:p>
    <w:p w14:paraId="53FC1300" w14:textId="77777777" w:rsidR="007C3B91" w:rsidRPr="007C3B91" w:rsidRDefault="007C3B91" w:rsidP="007C3B91">
      <w:pPr>
        <w:rPr>
          <w:rFonts w:ascii="Aptos" w:hAnsi="Aptos"/>
        </w:rPr>
      </w:pPr>
      <w:r w:rsidRPr="007C3B91">
        <w:rPr>
          <w:rFonts w:ascii="Aptos" w:hAnsi="Aptos"/>
        </w:rPr>
        <w:t>With Sales Growth of 46.88% and Profit Growth of 48.42%, the business should maintain the strategies driving growth while ensuring that future sales growth continues to translate into sustainable profitability.</w:t>
      </w:r>
    </w:p>
    <w:p w14:paraId="0871D646" w14:textId="77777777" w:rsidR="007C3B91" w:rsidRPr="007C3B91" w:rsidRDefault="007C3B91" w:rsidP="007C3B91">
      <w:pPr>
        <w:rPr>
          <w:rFonts w:ascii="Aptos" w:hAnsi="Aptos"/>
        </w:rPr>
      </w:pPr>
    </w:p>
    <w:p w14:paraId="3896FD6A" w14:textId="34857BF7" w:rsidR="007C3B91" w:rsidRPr="007C3B91" w:rsidRDefault="007C3B91" w:rsidP="007C3B91">
      <w:pPr>
        <w:rPr>
          <w:rFonts w:ascii="Aptos" w:hAnsi="Aptos"/>
          <w:b/>
          <w:bCs/>
        </w:rPr>
      </w:pPr>
      <w:r w:rsidRPr="007C3B91">
        <w:rPr>
          <w:rFonts w:ascii="Aptos" w:hAnsi="Aptos"/>
          <w:b/>
          <w:bCs/>
        </w:rPr>
        <w:t>Recommendation 5 — Strengthen KPI Monitoring</w:t>
      </w:r>
    </w:p>
    <w:p w14:paraId="138491CB" w14:textId="77777777" w:rsidR="007C3B91" w:rsidRPr="007C3B91" w:rsidRDefault="007C3B91" w:rsidP="007C3B91">
      <w:pPr>
        <w:rPr>
          <w:rFonts w:ascii="Aptos" w:hAnsi="Aptos"/>
        </w:rPr>
      </w:pPr>
      <w:r w:rsidRPr="007C3B91">
        <w:rPr>
          <w:rFonts w:ascii="Aptos" w:hAnsi="Aptos"/>
        </w:rPr>
        <w:t>Management should regularly monitor sales, profit, profit margin, growth, product performance, regional performance, customer segments, and discounts through the Power BI dashboard. This will help identify emerging performance problems early.</w:t>
      </w:r>
    </w:p>
    <w:p w14:paraId="707F396A" w14:textId="18CA3442" w:rsidR="007C3B91" w:rsidRPr="007C3B91" w:rsidRDefault="007C3B91" w:rsidP="007C3B91">
      <w:pPr>
        <w:rPr>
          <w:rFonts w:ascii="Aptos" w:hAnsi="Aptos"/>
        </w:rPr>
      </w:pPr>
    </w:p>
    <w:p w14:paraId="5BCA880C" w14:textId="77777777" w:rsidR="007C3B91" w:rsidRPr="007C3B91" w:rsidRDefault="007C3B91" w:rsidP="007C3B91">
      <w:pPr>
        <w:rPr>
          <w:rFonts w:ascii="Aptos" w:hAnsi="Aptos"/>
        </w:rPr>
      </w:pPr>
    </w:p>
    <w:p w14:paraId="03D22DF9" w14:textId="77777777" w:rsidR="007C3B91" w:rsidRPr="007C3B91" w:rsidRDefault="007C3B91" w:rsidP="007C3B91">
      <w:pPr>
        <w:rPr>
          <w:rFonts w:ascii="Aptos" w:hAnsi="Aptos"/>
          <w:b/>
          <w:bCs/>
          <w:sz w:val="28"/>
          <w:szCs w:val="28"/>
        </w:rPr>
      </w:pPr>
      <w:r w:rsidRPr="007C3B91">
        <w:rPr>
          <w:rFonts w:ascii="Aptos" w:hAnsi="Aptos"/>
          <w:b/>
          <w:bCs/>
          <w:sz w:val="28"/>
          <w:szCs w:val="28"/>
        </w:rPr>
        <w:t>4. Overall Conclusion</w:t>
      </w:r>
    </w:p>
    <w:p w14:paraId="313A555E" w14:textId="77777777" w:rsidR="007C3B91" w:rsidRPr="007C3B91" w:rsidRDefault="007C3B91" w:rsidP="007C3B91">
      <w:pPr>
        <w:rPr>
          <w:rFonts w:ascii="Aptos" w:hAnsi="Aptos"/>
        </w:rPr>
      </w:pPr>
    </w:p>
    <w:p w14:paraId="12CD3093" w14:textId="4EE3AB08" w:rsidR="007C3B91" w:rsidRPr="007C3B91" w:rsidRDefault="007C3B91" w:rsidP="007C3B91">
      <w:pPr>
        <w:rPr>
          <w:rFonts w:ascii="Aptos" w:hAnsi="Aptos"/>
        </w:rPr>
      </w:pPr>
      <w:r w:rsidRPr="007C3B91">
        <w:rPr>
          <w:rFonts w:ascii="Aptos" w:hAnsi="Aptos"/>
        </w:rPr>
        <w:t>The analysis shows that the business is experiencing strong overall growth, but profitability varies considerably across products, regions, and categories.</w:t>
      </w:r>
    </w:p>
    <w:p w14:paraId="0C0059A1" w14:textId="64CD1FC9" w:rsidR="00297161" w:rsidRPr="007C3B91" w:rsidRDefault="007C3B91" w:rsidP="007C3B91">
      <w:pPr>
        <w:rPr>
          <w:rFonts w:ascii="Aptos" w:hAnsi="Aptos"/>
        </w:rPr>
      </w:pPr>
      <w:r w:rsidRPr="007C3B91">
        <w:rPr>
          <w:rFonts w:ascii="Aptos" w:hAnsi="Aptos"/>
        </w:rPr>
        <w:t>The major areas requiring attention are loss-making products, the Central region, and the Furniture category. Targeted action in these areas, combined with continued monitoring of business KPIs, can help improve profitability while maintaining the positive sales and profit growth achieved.</w:t>
      </w:r>
    </w:p>
    <w:sectPr w:rsidR="00297161" w:rsidRPr="007C3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B91"/>
    <w:rsid w:val="00176B28"/>
    <w:rsid w:val="00297161"/>
    <w:rsid w:val="003A2D69"/>
    <w:rsid w:val="00513C76"/>
    <w:rsid w:val="007C3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F7D37"/>
  <w15:chartTrackingRefBased/>
  <w15:docId w15:val="{C2DF768A-8127-43D7-BE21-0A75EE0D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B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3B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B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B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B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B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3B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B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B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B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B91"/>
    <w:rPr>
      <w:rFonts w:eastAsiaTheme="majorEastAsia" w:cstheme="majorBidi"/>
      <w:color w:val="272727" w:themeColor="text1" w:themeTint="D8"/>
    </w:rPr>
  </w:style>
  <w:style w:type="paragraph" w:styleId="Title">
    <w:name w:val="Title"/>
    <w:basedOn w:val="Normal"/>
    <w:next w:val="Normal"/>
    <w:link w:val="TitleChar"/>
    <w:uiPriority w:val="10"/>
    <w:qFormat/>
    <w:rsid w:val="007C3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B91"/>
    <w:pPr>
      <w:spacing w:before="160"/>
      <w:jc w:val="center"/>
    </w:pPr>
    <w:rPr>
      <w:i/>
      <w:iCs/>
      <w:color w:val="404040" w:themeColor="text1" w:themeTint="BF"/>
    </w:rPr>
  </w:style>
  <w:style w:type="character" w:customStyle="1" w:styleId="QuoteChar">
    <w:name w:val="Quote Char"/>
    <w:basedOn w:val="DefaultParagraphFont"/>
    <w:link w:val="Quote"/>
    <w:uiPriority w:val="29"/>
    <w:rsid w:val="007C3B91"/>
    <w:rPr>
      <w:i/>
      <w:iCs/>
      <w:color w:val="404040" w:themeColor="text1" w:themeTint="BF"/>
    </w:rPr>
  </w:style>
  <w:style w:type="paragraph" w:styleId="ListParagraph">
    <w:name w:val="List Paragraph"/>
    <w:basedOn w:val="Normal"/>
    <w:uiPriority w:val="34"/>
    <w:qFormat/>
    <w:rsid w:val="007C3B91"/>
    <w:pPr>
      <w:ind w:left="720"/>
      <w:contextualSpacing/>
    </w:pPr>
  </w:style>
  <w:style w:type="character" w:styleId="IntenseEmphasis">
    <w:name w:val="Intense Emphasis"/>
    <w:basedOn w:val="DefaultParagraphFont"/>
    <w:uiPriority w:val="21"/>
    <w:qFormat/>
    <w:rsid w:val="007C3B91"/>
    <w:rPr>
      <w:i/>
      <w:iCs/>
      <w:color w:val="2F5496" w:themeColor="accent1" w:themeShade="BF"/>
    </w:rPr>
  </w:style>
  <w:style w:type="paragraph" w:styleId="IntenseQuote">
    <w:name w:val="Intense Quote"/>
    <w:basedOn w:val="Normal"/>
    <w:next w:val="Normal"/>
    <w:link w:val="IntenseQuoteChar"/>
    <w:uiPriority w:val="30"/>
    <w:qFormat/>
    <w:rsid w:val="007C3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B91"/>
    <w:rPr>
      <w:i/>
      <w:iCs/>
      <w:color w:val="2F5496" w:themeColor="accent1" w:themeShade="BF"/>
    </w:rPr>
  </w:style>
  <w:style w:type="character" w:styleId="IntenseReference">
    <w:name w:val="Intense Reference"/>
    <w:basedOn w:val="DefaultParagraphFont"/>
    <w:uiPriority w:val="32"/>
    <w:qFormat/>
    <w:rsid w:val="007C3B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Tobiloba Elizabeth</dc:creator>
  <cp:keywords/>
  <dc:description/>
  <cp:lastModifiedBy>Tobiloba Elizabeth</cp:lastModifiedBy>
  <cp:revision>1</cp:revision>
  <dcterms:created xsi:type="dcterms:W3CDTF">2026-08-22T12:44:00Z</dcterms:created>
  <dcterms:modified xsi:type="dcterms:W3CDTF">2026-08-22T12:52:00Z</dcterms:modified>
</cp:coreProperties>
</file>