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44536"/>
          <w:sz w:val="18"/>
          <w:szCs w:val="18"/>
        </w:rPr>
        <w:t xml:space="preserve">HEALTHCONNECT CLINIC EXPERIENCE LAB  ·  WEEK 6</w:t>
      </w:r>
    </w:p>
    <w:p>
      <w:pPr>
        <w:spacing w:after="60"/>
      </w:pPr>
      <w:r>
        <w:rPr>
          <w:b/>
          <w:bCs/>
          <w:color w:val="1F3A5F"/>
          <w:sz w:val="40"/>
          <w:szCs w:val="40"/>
        </w:rPr>
        <w:t xml:space="preserve">Cross-Track Integration Record</w:t>
      </w:r>
    </w:p>
    <w:p>
      <w:pPr>
        <w:spacing w:after="220"/>
      </w:pPr>
      <w:r>
        <w:rPr>
          <w:color w:val="52514E"/>
          <w:sz w:val="22"/>
          <w:szCs w:val="22"/>
        </w:rPr>
        <w:t xml:space="preserve">Data Analytics  →  Data Science</w:t>
      </w:r>
    </w:p>
    <w:p>
      <w:pPr>
        <w:pBdr>
          <w:left w:val="single" w:color="C44536" w:sz="18" w:space="8"/>
        </w:pBdr>
        <w:shd w:fill="FFF4E8" w:color="auto" w:val="clear"/>
        <w:spacing w:after="140" w:before="140"/>
      </w:pPr>
      <w:r>
        <w:rPr>
          <w:b/>
          <w:bCs/>
          <w:sz w:val="19"/>
          <w:szCs w:val="19"/>
        </w:rPr>
        <w:t xml:space="preserve">Documentation note: </w:t>
      </w:r>
      <w:r>
        <w:rPr>
          <w:sz w:val="19"/>
          <w:szCs w:val="19"/>
        </w:rPr>
        <w:t xml:space="preserve">no Data Science counterpart was available in the cohort at the time of writing, as was also recorded in Week 5. The analytical outputs, files and decisions in this record are real and were produced from the Week 6 analysis of the HealthConnect dataset. The counterpart's requests and responses are reconstructed from the Data Science track's Week 6 brief so that the integration can be documented end to end. This is stated openly so the record is not mistaken for a verified two-party collaboration.</w:t>
      </w:r>
    </w:p>
    <w:p>
      <w:pPr>
        <w:pStyle w:val="Heading1"/>
      </w:pPr>
      <w:r>
        <w:t xml:space="preserve">1. Mandatory integration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1F3A5F" w:color="auto" w:val="clear"/>
            <w:tcMar>
              <w:top w:type="dxa" w:w="70"/>
              <w:left w:type="dxa" w:w="100"/>
              <w:bottom w:type="dxa" w:w="70"/>
              <w:right w:type="dxa" w:w="100"/>
            </w:tcMar>
          </w:tcPr>
          <w:p>
            <w:pPr>
              <w:spacing w:after="0" w:line="250"/>
            </w:pPr>
            <w:r>
              <w:rPr>
                <w:b/>
                <w:bCs/>
                <w:color w:val="FFFFFF"/>
                <w:sz w:val="18"/>
                <w:szCs w:val="18"/>
              </w:rPr>
              <w:t xml:space="preserve">Field</w:t>
            </w:r>
          </w:p>
        </w:tc>
        <w:tc>
          <w:tcPr>
            <w:tcW w:type="dxa" w:w="7114"/>
            <w:shd w:fill="1F3A5F" w:color="auto" w:val="clear"/>
            <w:tcMar>
              <w:top w:type="dxa" w:w="70"/>
              <w:left w:type="dxa" w:w="100"/>
              <w:bottom w:type="dxa" w:w="70"/>
              <w:right w:type="dxa" w:w="100"/>
            </w:tcMar>
          </w:tcPr>
          <w:p>
            <w:pPr>
              <w:spacing w:after="0" w:line="250"/>
            </w:pPr>
            <w:r>
              <w:rPr>
                <w:b/>
                <w:bCs/>
                <w:color w:val="FFFFFF"/>
                <w:sz w:val="18"/>
                <w:szCs w:val="18"/>
              </w:rPr>
              <w:t xml:space="preserve">Detail</w:t>
            </w:r>
          </w:p>
        </w:tc>
      </w:tr>
      <w:tr>
        <w:trPr>
          <w:tblHeader w:val="false"/>
        </w:trPr>
        <w:tc>
          <w:tcPr>
            <w:tcW w:type="dxa" w:w="2246"/>
            <w:shd w:fill="FFFFFF" w:color="auto" w:val="clear"/>
            <w:tcMar>
              <w:top w:type="dxa" w:w="70"/>
              <w:left w:type="dxa" w:w="100"/>
              <w:bottom w:type="dxa" w:w="70"/>
              <w:right w:type="dxa" w:w="100"/>
            </w:tcMar>
          </w:tcPr>
          <w:p>
            <w:pPr>
              <w:spacing w:after="0" w:line="250"/>
            </w:pPr>
            <w:r>
              <w:rPr>
                <w:b/>
                <w:bCs/>
                <w:color w:val="1A1A1A"/>
                <w:sz w:val="18"/>
                <w:szCs w:val="18"/>
              </w:rPr>
              <w:t xml:space="preserve">1. Track collaborated with</w:t>
            </w:r>
          </w:p>
        </w:tc>
        <w:tc>
          <w:tcPr>
            <w:tcW w:type="dxa" w:w="7114"/>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Data Science track — HealthConnect no-show prediction model</w:t>
            </w:r>
          </w:p>
        </w:tc>
      </w:tr>
      <w:tr>
        <w:trPr>
          <w:tblHeader w:val="false"/>
        </w:trPr>
        <w:tc>
          <w:tcPr>
            <w:tcW w:type="dxa" w:w="2246"/>
            <w:shd w:fill="F4F7FA" w:color="auto" w:val="clear"/>
            <w:tcMar>
              <w:top w:type="dxa" w:w="70"/>
              <w:left w:type="dxa" w:w="100"/>
              <w:bottom w:type="dxa" w:w="70"/>
              <w:right w:type="dxa" w:w="100"/>
            </w:tcMar>
          </w:tcPr>
          <w:p>
            <w:pPr>
              <w:spacing w:after="0" w:line="250"/>
            </w:pPr>
            <w:r>
              <w:rPr>
                <w:b/>
                <w:bCs/>
                <w:color w:val="1A1A1A"/>
                <w:sz w:val="18"/>
                <w:szCs w:val="18"/>
              </w:rPr>
              <w:t xml:space="preserve">2. Project dependency</w:t>
            </w:r>
          </w:p>
        </w:tc>
        <w:tc>
          <w:tcPr>
            <w:tcW w:type="dxa" w:w="7114"/>
            <w:shd w:fill="F4F7FA" w:color="auto" w:val="clear"/>
            <w:tcMar>
              <w:top w:type="dxa" w:w="70"/>
              <w:left w:type="dxa" w:w="100"/>
              <w:bottom w:type="dxa" w:w="70"/>
              <w:right w:type="dxa" w:w="100"/>
            </w:tcMar>
          </w:tcPr>
          <w:p>
            <w:pPr>
              <w:spacing w:after="0" w:line="250"/>
            </w:pPr>
            <w:r>
              <w:rPr>
                <w:b w:val="false"/>
                <w:bCs w:val="false"/>
                <w:color w:val="1A1A1A"/>
                <w:sz w:val="18"/>
                <w:szCs w:val="18"/>
              </w:rPr>
              <w:t xml:space="preserve">The Data Science Week 6 task is feature refinement and error analysis on the Week 5 baseline classifier. Feature selection and validation design depend on evidence of which variables carry real signal. That evidence is held by the Data Analytics track</w:t>
            </w:r>
          </w:p>
        </w:tc>
      </w:tr>
      <w:tr>
        <w:trPr>
          <w:tblHeader w:val="false"/>
        </w:trPr>
        <w:tc>
          <w:tcPr>
            <w:tcW w:type="dxa" w:w="2246"/>
            <w:shd w:fill="FFFFFF" w:color="auto" w:val="clear"/>
            <w:tcMar>
              <w:top w:type="dxa" w:w="70"/>
              <w:left w:type="dxa" w:w="100"/>
              <w:bottom w:type="dxa" w:w="70"/>
              <w:right w:type="dxa" w:w="100"/>
            </w:tcMar>
          </w:tcPr>
          <w:p>
            <w:pPr>
              <w:spacing w:after="0" w:line="250"/>
            </w:pPr>
            <w:r>
              <w:rPr>
                <w:b/>
                <w:bCs/>
                <w:color w:val="1A1A1A"/>
                <w:sz w:val="18"/>
                <w:szCs w:val="18"/>
              </w:rPr>
              <w:t xml:space="preserve">3. Information received</w:t>
            </w:r>
          </w:p>
        </w:tc>
        <w:tc>
          <w:tcPr>
            <w:tcW w:type="dxa" w:w="7114"/>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Week 5 baseline specification: target appointment_outcome = "No-Show" encoded as binary; all 18 dataset columns offered as candidate features; a random 80/20 train–test split. Four questions: (a) which variables to prioritise, (b) which to exclude, (c) whether to collapse the three-class outcome, (d) whether a stratified random split is adequate</w:t>
            </w:r>
          </w:p>
        </w:tc>
      </w:tr>
      <w:tr>
        <w:trPr>
          <w:tblHeader w:val="false"/>
        </w:trPr>
        <w:tc>
          <w:tcPr>
            <w:tcW w:type="dxa" w:w="2246"/>
            <w:shd w:fill="F4F7FA" w:color="auto" w:val="clear"/>
            <w:tcMar>
              <w:top w:type="dxa" w:w="70"/>
              <w:left w:type="dxa" w:w="100"/>
              <w:bottom w:type="dxa" w:w="70"/>
              <w:right w:type="dxa" w:w="100"/>
            </w:tcMar>
          </w:tcPr>
          <w:p>
            <w:pPr>
              <w:spacing w:after="0" w:line="250"/>
            </w:pPr>
            <w:r>
              <w:rPr>
                <w:b/>
                <w:bCs/>
                <w:color w:val="1A1A1A"/>
                <w:sz w:val="18"/>
                <w:szCs w:val="18"/>
              </w:rPr>
              <w:t xml:space="preserve">4. Information provided</w:t>
            </w:r>
          </w:p>
        </w:tc>
        <w:tc>
          <w:tcPr>
            <w:tcW w:type="dxa" w:w="7114"/>
            <w:shd w:fill="F4F7FA" w:color="auto" w:val="clear"/>
            <w:tcMar>
              <w:top w:type="dxa" w:w="70"/>
              <w:left w:type="dxa" w:w="100"/>
              <w:bottom w:type="dxa" w:w="70"/>
              <w:right w:type="dxa" w:w="100"/>
            </w:tcMar>
          </w:tcPr>
          <w:p>
            <w:pPr>
              <w:spacing w:after="0" w:line="250"/>
            </w:pPr>
            <w:r>
              <w:rPr>
                <w:b w:val="false"/>
                <w:bCs w:val="false"/>
                <w:color w:val="1A1A1A"/>
                <w:sz w:val="18"/>
                <w:szCs w:val="18"/>
              </w:rPr>
              <w:t xml:space="preserve">(a) Validated driver list with adjusted effect sizes; (b) HealthConnect_Week6_Feature_Specification.csv; (c) a validation-design warning on repeated patients; (d) a target-definition recommendation; (e) HealthConnect_Week6_Risk_Tier_Cohort.csv as a labelled benchmark; (f) the waiting_time_minutes data-integrity finding</w:t>
            </w:r>
          </w:p>
        </w:tc>
      </w:tr>
      <w:tr>
        <w:trPr>
          <w:tblHeader w:val="false"/>
        </w:trPr>
        <w:tc>
          <w:tcPr>
            <w:tcW w:type="dxa" w:w="2246"/>
            <w:shd w:fill="FFFFFF" w:color="auto" w:val="clear"/>
            <w:tcMar>
              <w:top w:type="dxa" w:w="70"/>
              <w:left w:type="dxa" w:w="100"/>
              <w:bottom w:type="dxa" w:w="70"/>
              <w:right w:type="dxa" w:w="100"/>
            </w:tcMar>
          </w:tcPr>
          <w:p>
            <w:pPr>
              <w:spacing w:after="0" w:line="250"/>
            </w:pPr>
            <w:r>
              <w:rPr>
                <w:b/>
                <w:bCs/>
                <w:color w:val="1A1A1A"/>
                <w:sz w:val="18"/>
                <w:szCs w:val="18"/>
              </w:rPr>
              <w:t xml:space="preserve">5. Integration activity</w:t>
            </w:r>
          </w:p>
        </w:tc>
        <w:tc>
          <w:tcPr>
            <w:tcW w:type="dxa" w:w="7114"/>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Evidence pack produced from the Week 6 validation analysis and transferred; the four questions answered in writing; returned decisions logged; this track's own reporting updated to match the agreed target definition</w:t>
            </w:r>
          </w:p>
        </w:tc>
      </w:tr>
      <w:tr>
        <w:trPr>
          <w:tblHeader w:val="false"/>
        </w:trPr>
        <w:tc>
          <w:tcPr>
            <w:tcW w:type="dxa" w:w="2246"/>
            <w:shd w:fill="F4F7FA" w:color="auto" w:val="clear"/>
            <w:tcMar>
              <w:top w:type="dxa" w:w="70"/>
              <w:left w:type="dxa" w:w="100"/>
              <w:bottom w:type="dxa" w:w="70"/>
              <w:right w:type="dxa" w:w="100"/>
            </w:tcMar>
          </w:tcPr>
          <w:p>
            <w:pPr>
              <w:spacing w:after="0" w:line="250"/>
            </w:pPr>
            <w:r>
              <w:rPr>
                <w:b/>
                <w:bCs/>
                <w:color w:val="1A1A1A"/>
                <w:sz w:val="18"/>
                <w:szCs w:val="18"/>
              </w:rPr>
              <w:t xml:space="preserve">6. What changed</w:t>
            </w:r>
          </w:p>
        </w:tc>
        <w:tc>
          <w:tcPr>
            <w:tcW w:type="dxa" w:w="7114"/>
            <w:shd w:fill="F4F7FA" w:color="auto" w:val="clear"/>
            <w:tcMar>
              <w:top w:type="dxa" w:w="70"/>
              <w:left w:type="dxa" w:w="100"/>
              <w:bottom w:type="dxa" w:w="70"/>
              <w:right w:type="dxa" w:w="100"/>
            </w:tcMar>
          </w:tcPr>
          <w:p>
            <w:pPr>
              <w:spacing w:after="0" w:line="250"/>
            </w:pPr>
            <w:r>
              <w:rPr>
                <w:b w:val="false"/>
                <w:bCs w:val="false"/>
                <w:color w:val="1A1A1A"/>
                <w:sz w:val="18"/>
                <w:szCs w:val="18"/>
              </w:rPr>
              <w:t xml:space="preserve">Five changes in the Data Science track's approach and three in this track's own work — Section 3</w:t>
            </w:r>
          </w:p>
        </w:tc>
      </w:tr>
      <w:tr>
        <w:trPr>
          <w:tblHeader w:val="false"/>
        </w:trPr>
        <w:tc>
          <w:tcPr>
            <w:tcW w:type="dxa" w:w="2246"/>
            <w:shd w:fill="FFFFFF" w:color="auto" w:val="clear"/>
            <w:tcMar>
              <w:top w:type="dxa" w:w="70"/>
              <w:left w:type="dxa" w:w="100"/>
              <w:bottom w:type="dxa" w:w="70"/>
              <w:right w:type="dxa" w:w="100"/>
            </w:tcMar>
          </w:tcPr>
          <w:p>
            <w:pPr>
              <w:spacing w:after="0" w:line="250"/>
            </w:pPr>
            <w:r>
              <w:rPr>
                <w:b/>
                <w:bCs/>
                <w:color w:val="1A1A1A"/>
                <w:sz w:val="18"/>
                <w:szCs w:val="18"/>
              </w:rPr>
              <w:t xml:space="preserve">7. Evidence</w:t>
            </w:r>
          </w:p>
        </w:tc>
        <w:tc>
          <w:tcPr>
            <w:tcW w:type="dxa" w:w="7114"/>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Five files, the exchange log in Section 2, and the issue log — Section 5</w:t>
            </w:r>
          </w:p>
        </w:tc>
      </w:tr>
    </w:tbl>
    <w:p>
      <w:pPr>
        <w:pStyle w:val="Heading1"/>
      </w:pPr>
      <w:r>
        <w:t xml:space="preserve">2. Exchange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123"/>
        <w:gridCol w:w="4306"/>
        <w:gridCol w:w="3463"/>
      </w:tblGrid>
      <w:tr>
        <w:trPr>
          <w:tblHeader/>
        </w:trPr>
        <w:tc>
          <w:tcPr>
            <w:tcW w:type="dxa" w:w="468"/>
            <w:shd w:fill="1F3A5F" w:color="auto" w:val="clear"/>
            <w:tcMar>
              <w:top w:type="dxa" w:w="70"/>
              <w:left w:type="dxa" w:w="100"/>
              <w:bottom w:type="dxa" w:w="70"/>
              <w:right w:type="dxa" w:w="100"/>
            </w:tcMar>
          </w:tcPr>
          <w:p>
            <w:pPr>
              <w:spacing w:after="0" w:line="250"/>
            </w:pPr>
            <w:r>
              <w:rPr>
                <w:b/>
                <w:bCs/>
                <w:color w:val="FFFFFF"/>
                <w:sz w:val="17"/>
                <w:szCs w:val="17"/>
              </w:rPr>
              <w:t xml:space="preserve">#</w:t>
            </w:r>
          </w:p>
        </w:tc>
        <w:tc>
          <w:tcPr>
            <w:tcW w:type="dxa" w:w="1123"/>
            <w:shd w:fill="1F3A5F" w:color="auto" w:val="clear"/>
            <w:tcMar>
              <w:top w:type="dxa" w:w="70"/>
              <w:left w:type="dxa" w:w="100"/>
              <w:bottom w:type="dxa" w:w="70"/>
              <w:right w:type="dxa" w:w="100"/>
            </w:tcMar>
          </w:tcPr>
          <w:p>
            <w:pPr>
              <w:spacing w:after="0" w:line="250"/>
            </w:pPr>
            <w:r>
              <w:rPr>
                <w:b/>
                <w:bCs/>
                <w:color w:val="FFFFFF"/>
                <w:sz w:val="17"/>
                <w:szCs w:val="17"/>
              </w:rPr>
              <w:t xml:space="preserve">Direction</w:t>
            </w:r>
          </w:p>
        </w:tc>
        <w:tc>
          <w:tcPr>
            <w:tcW w:type="dxa" w:w="4306"/>
            <w:shd w:fill="1F3A5F" w:color="auto" w:val="clear"/>
            <w:tcMar>
              <w:top w:type="dxa" w:w="70"/>
              <w:left w:type="dxa" w:w="100"/>
              <w:bottom w:type="dxa" w:w="70"/>
              <w:right w:type="dxa" w:w="100"/>
            </w:tcMar>
          </w:tcPr>
          <w:p>
            <w:pPr>
              <w:spacing w:after="0" w:line="250"/>
            </w:pPr>
            <w:r>
              <w:rPr>
                <w:b/>
                <w:bCs/>
                <w:color w:val="FFFFFF"/>
                <w:sz w:val="17"/>
                <w:szCs w:val="17"/>
              </w:rPr>
              <w:t xml:space="preserve">Item</w:t>
            </w:r>
          </w:p>
        </w:tc>
        <w:tc>
          <w:tcPr>
            <w:tcW w:type="dxa" w:w="3463"/>
            <w:shd w:fill="1F3A5F" w:color="auto" w:val="clear"/>
            <w:tcMar>
              <w:top w:type="dxa" w:w="70"/>
              <w:left w:type="dxa" w:w="100"/>
              <w:bottom w:type="dxa" w:w="70"/>
              <w:right w:type="dxa" w:w="100"/>
            </w:tcMar>
          </w:tcPr>
          <w:p>
            <w:pPr>
              <w:spacing w:after="0" w:line="250"/>
            </w:pPr>
            <w:r>
              <w:rPr>
                <w:b/>
                <w:bCs/>
                <w:color w:val="FFFFFF"/>
                <w:sz w:val="17"/>
                <w:szCs w:val="17"/>
              </w:rPr>
              <w:t xml:space="preserve">Outcome</w:t>
            </w:r>
          </w:p>
        </w:tc>
      </w:tr>
      <w:tr>
        <w:trPr>
          <w:tblHeader w:val="false"/>
        </w:trPr>
        <w:tc>
          <w:tcPr>
            <w:tcW w:type="dxa" w:w="468"/>
            <w:shd w:fill="FFFFFF" w:color="auto" w:val="clear"/>
            <w:tcMar>
              <w:top w:type="dxa" w:w="70"/>
              <w:left w:type="dxa" w:w="100"/>
              <w:bottom w:type="dxa" w:w="70"/>
              <w:right w:type="dxa" w:w="100"/>
            </w:tcMar>
          </w:tcPr>
          <w:p>
            <w:pPr>
              <w:spacing w:after="0" w:line="250"/>
            </w:pPr>
            <w:r>
              <w:rPr>
                <w:color w:val="1A1A1A"/>
                <w:sz w:val="17"/>
                <w:szCs w:val="17"/>
              </w:rPr>
              <w:t xml:space="preserve">1</w:t>
            </w:r>
          </w:p>
        </w:tc>
        <w:tc>
          <w:tcPr>
            <w:tcW w:type="dxa" w:w="1123"/>
            <w:shd w:fill="FFFFFF" w:color="auto" w:val="clear"/>
            <w:tcMar>
              <w:top w:type="dxa" w:w="70"/>
              <w:left w:type="dxa" w:w="100"/>
              <w:bottom w:type="dxa" w:w="70"/>
              <w:right w:type="dxa" w:w="100"/>
            </w:tcMar>
          </w:tcPr>
          <w:p>
            <w:pPr>
              <w:spacing w:after="0" w:line="250"/>
            </w:pPr>
            <w:r>
              <w:rPr>
                <w:color w:val="1A1A1A"/>
                <w:sz w:val="17"/>
                <w:szCs w:val="17"/>
              </w:rPr>
              <w:t xml:space="preserve">DS → DA</w:t>
            </w:r>
          </w:p>
        </w:tc>
        <w:tc>
          <w:tcPr>
            <w:tcW w:type="dxa" w:w="4306"/>
            <w:shd w:fill="FFFFFF" w:color="auto" w:val="clear"/>
            <w:tcMar>
              <w:top w:type="dxa" w:w="70"/>
              <w:left w:type="dxa" w:w="100"/>
              <w:bottom w:type="dxa" w:w="70"/>
              <w:right w:type="dxa" w:w="100"/>
            </w:tcMar>
          </w:tcPr>
          <w:p>
            <w:pPr>
              <w:spacing w:after="0" w:line="250"/>
            </w:pPr>
            <w:r>
              <w:rPr>
                <w:color w:val="1A1A1A"/>
                <w:sz w:val="17"/>
                <w:szCs w:val="17"/>
              </w:rPr>
              <w:t xml:space="preserve">Request: prioritised feature list and exclusions for the improved model</w:t>
            </w:r>
          </w:p>
        </w:tc>
        <w:tc>
          <w:tcPr>
            <w:tcW w:type="dxa" w:w="3463"/>
            <w:shd w:fill="FFFFFF" w:color="auto" w:val="clear"/>
            <w:tcMar>
              <w:top w:type="dxa" w:w="70"/>
              <w:left w:type="dxa" w:w="100"/>
              <w:bottom w:type="dxa" w:w="70"/>
              <w:right w:type="dxa" w:w="100"/>
            </w:tcMar>
          </w:tcPr>
          <w:p>
            <w:pPr>
              <w:spacing w:after="0" w:line="250"/>
            </w:pPr>
            <w:r>
              <w:rPr>
                <w:color w:val="1A1A1A"/>
                <w:sz w:val="17"/>
                <w:szCs w:val="17"/>
              </w:rPr>
              <w:t xml:space="preserve">Answered by the feature specification file</w:t>
            </w:r>
          </w:p>
        </w:tc>
      </w:tr>
      <w:tr>
        <w:trPr>
          <w:tblHeader w:val="false"/>
        </w:trPr>
        <w:tc>
          <w:tcPr>
            <w:tcW w:type="dxa" w:w="468"/>
            <w:shd w:fill="F4F7FA" w:color="auto" w:val="clear"/>
            <w:tcMar>
              <w:top w:type="dxa" w:w="70"/>
              <w:left w:type="dxa" w:w="100"/>
              <w:bottom w:type="dxa" w:w="70"/>
              <w:right w:type="dxa" w:w="100"/>
            </w:tcMar>
          </w:tcPr>
          <w:p>
            <w:pPr>
              <w:spacing w:after="0" w:line="250"/>
            </w:pPr>
            <w:r>
              <w:rPr>
                <w:color w:val="1A1A1A"/>
                <w:sz w:val="17"/>
                <w:szCs w:val="17"/>
              </w:rPr>
              <w:t xml:space="preserve">2</w:t>
            </w:r>
          </w:p>
        </w:tc>
        <w:tc>
          <w:tcPr>
            <w:tcW w:type="dxa" w:w="1123"/>
            <w:shd w:fill="F4F7FA" w:color="auto" w:val="clear"/>
            <w:tcMar>
              <w:top w:type="dxa" w:w="70"/>
              <w:left w:type="dxa" w:w="100"/>
              <w:bottom w:type="dxa" w:w="70"/>
              <w:right w:type="dxa" w:w="100"/>
            </w:tcMar>
          </w:tcPr>
          <w:p>
            <w:pPr>
              <w:spacing w:after="0" w:line="250"/>
            </w:pPr>
            <w:r>
              <w:rPr>
                <w:color w:val="1A1A1A"/>
                <w:sz w:val="17"/>
                <w:szCs w:val="17"/>
              </w:rPr>
              <w:t xml:space="preserve">DA → DS</w:t>
            </w:r>
          </w:p>
        </w:tc>
        <w:tc>
          <w:tcPr>
            <w:tcW w:type="dxa" w:w="4306"/>
            <w:shd w:fill="F4F7FA" w:color="auto" w:val="clear"/>
            <w:tcMar>
              <w:top w:type="dxa" w:w="70"/>
              <w:left w:type="dxa" w:w="100"/>
              <w:bottom w:type="dxa" w:w="70"/>
              <w:right w:type="dxa" w:w="100"/>
            </w:tcMar>
          </w:tcPr>
          <w:p>
            <w:pPr>
              <w:spacing w:after="0" w:line="250"/>
            </w:pPr>
            <w:r>
              <w:rPr>
                <w:color w:val="1A1A1A"/>
                <w:sz w:val="17"/>
                <w:szCs w:val="17"/>
              </w:rPr>
              <w:t xml:space="preserve">Only booking_lead_days (V = 0.252) and previous_no_shows (V = 0.125) carry non-negligible effect. Gender, appointment_day, appointment_time, age_group and waiting_time_minutes show no significant association</w:t>
            </w:r>
          </w:p>
        </w:tc>
        <w:tc>
          <w:tcPr>
            <w:tcW w:type="dxa" w:w="3463"/>
            <w:shd w:fill="F4F7FA" w:color="auto" w:val="clear"/>
            <w:tcMar>
              <w:top w:type="dxa" w:w="70"/>
              <w:left w:type="dxa" w:w="100"/>
              <w:bottom w:type="dxa" w:w="70"/>
              <w:right w:type="dxa" w:w="100"/>
            </w:tcMar>
          </w:tcPr>
          <w:p>
            <w:pPr>
              <w:spacing w:after="0" w:line="250"/>
            </w:pPr>
            <w:r>
              <w:rPr>
                <w:color w:val="1A1A1A"/>
                <w:sz w:val="17"/>
                <w:szCs w:val="17"/>
              </w:rPr>
              <w:t xml:space="preserve">Five non-informative features removed from the candidate set</w:t>
            </w:r>
          </w:p>
        </w:tc>
      </w:tr>
      <w:tr>
        <w:trPr>
          <w:tblHeader w:val="false"/>
        </w:trPr>
        <w:tc>
          <w:tcPr>
            <w:tcW w:type="dxa" w:w="468"/>
            <w:shd w:fill="FFFFFF" w:color="auto" w:val="clear"/>
            <w:tcMar>
              <w:top w:type="dxa" w:w="70"/>
              <w:left w:type="dxa" w:w="100"/>
              <w:bottom w:type="dxa" w:w="70"/>
              <w:right w:type="dxa" w:w="100"/>
            </w:tcMar>
          </w:tcPr>
          <w:p>
            <w:pPr>
              <w:spacing w:after="0" w:line="250"/>
            </w:pPr>
            <w:r>
              <w:rPr>
                <w:color w:val="1A1A1A"/>
                <w:sz w:val="17"/>
                <w:szCs w:val="17"/>
              </w:rPr>
              <w:t xml:space="preserve">3</w:t>
            </w:r>
          </w:p>
        </w:tc>
        <w:tc>
          <w:tcPr>
            <w:tcW w:type="dxa" w:w="1123"/>
            <w:shd w:fill="FFFFFF" w:color="auto" w:val="clear"/>
            <w:tcMar>
              <w:top w:type="dxa" w:w="70"/>
              <w:left w:type="dxa" w:w="100"/>
              <w:bottom w:type="dxa" w:w="70"/>
              <w:right w:type="dxa" w:w="100"/>
            </w:tcMar>
          </w:tcPr>
          <w:p>
            <w:pPr>
              <w:spacing w:after="0" w:line="250"/>
            </w:pPr>
            <w:r>
              <w:rPr>
                <w:color w:val="1A1A1A"/>
                <w:sz w:val="17"/>
                <w:szCs w:val="17"/>
              </w:rPr>
              <w:t xml:space="preserve">DA → DS</w:t>
            </w:r>
          </w:p>
        </w:tc>
        <w:tc>
          <w:tcPr>
            <w:tcW w:type="dxa" w:w="4306"/>
            <w:shd w:fill="FFFFFF" w:color="auto" w:val="clear"/>
            <w:tcMar>
              <w:top w:type="dxa" w:w="70"/>
              <w:left w:type="dxa" w:w="100"/>
              <w:bottom w:type="dxa" w:w="70"/>
              <w:right w:type="dxa" w:w="100"/>
            </w:tcMar>
          </w:tcPr>
          <w:p>
            <w:pPr>
              <w:spacing w:after="0" w:line="250"/>
            </w:pPr>
            <w:r>
              <w:rPr>
                <w:color w:val="1A1A1A"/>
                <w:sz w:val="17"/>
                <w:szCs w:val="17"/>
              </w:rPr>
              <w:t xml:space="preserve">WARNING: 5,000 appointments belong to only 1,696 patients; 94.0% belong to a repeat patient. A random split puts the same patient on both sides, and previous_no_shows / previous_appointments are patient-history features, so the split leaks</w:t>
            </w:r>
          </w:p>
        </w:tc>
        <w:tc>
          <w:tcPr>
            <w:tcW w:type="dxa" w:w="3463"/>
            <w:shd w:fill="FFFFFF" w:color="auto" w:val="clear"/>
            <w:tcMar>
              <w:top w:type="dxa" w:w="70"/>
              <w:left w:type="dxa" w:w="100"/>
              <w:bottom w:type="dxa" w:w="70"/>
              <w:right w:type="dxa" w:w="100"/>
            </w:tcMar>
          </w:tcPr>
          <w:p>
            <w:pPr>
              <w:spacing w:after="0" w:line="250"/>
            </w:pPr>
            <w:r>
              <w:rPr>
                <w:color w:val="1A1A1A"/>
                <w:sz w:val="17"/>
                <w:szCs w:val="17"/>
              </w:rPr>
              <w:t xml:space="preserve">Random 80/20 split replaced with a patient-grouped split (GroupKFold on patient_id); chronological holdout added as a secondary check</w:t>
            </w:r>
          </w:p>
        </w:tc>
      </w:tr>
      <w:tr>
        <w:trPr>
          <w:tblHeader w:val="false"/>
        </w:trPr>
        <w:tc>
          <w:tcPr>
            <w:tcW w:type="dxa" w:w="468"/>
            <w:shd w:fill="F4F7FA" w:color="auto" w:val="clear"/>
            <w:tcMar>
              <w:top w:type="dxa" w:w="70"/>
              <w:left w:type="dxa" w:w="100"/>
              <w:bottom w:type="dxa" w:w="70"/>
              <w:right w:type="dxa" w:w="100"/>
            </w:tcMar>
          </w:tcPr>
          <w:p>
            <w:pPr>
              <w:spacing w:after="0" w:line="250"/>
            </w:pPr>
            <w:r>
              <w:rPr>
                <w:color w:val="1A1A1A"/>
                <w:sz w:val="17"/>
                <w:szCs w:val="17"/>
              </w:rPr>
              <w:t xml:space="preserve">4</w:t>
            </w:r>
          </w:p>
        </w:tc>
        <w:tc>
          <w:tcPr>
            <w:tcW w:type="dxa" w:w="1123"/>
            <w:shd w:fill="F4F7FA" w:color="auto" w:val="clear"/>
            <w:tcMar>
              <w:top w:type="dxa" w:w="70"/>
              <w:left w:type="dxa" w:w="100"/>
              <w:bottom w:type="dxa" w:w="70"/>
              <w:right w:type="dxa" w:w="100"/>
            </w:tcMar>
          </w:tcPr>
          <w:p>
            <w:pPr>
              <w:spacing w:after="0" w:line="250"/>
            </w:pPr>
            <w:r>
              <w:rPr>
                <w:color w:val="1A1A1A"/>
                <w:sz w:val="17"/>
                <w:szCs w:val="17"/>
              </w:rPr>
              <w:t xml:space="preserve">DA → DS</w:t>
            </w:r>
          </w:p>
        </w:tc>
        <w:tc>
          <w:tcPr>
            <w:tcW w:type="dxa" w:w="4306"/>
            <w:shd w:fill="F4F7FA" w:color="auto" w:val="clear"/>
            <w:tcMar>
              <w:top w:type="dxa" w:w="70"/>
              <w:left w:type="dxa" w:w="100"/>
              <w:bottom w:type="dxa" w:w="70"/>
              <w:right w:type="dxa" w:w="100"/>
            </w:tcMar>
          </w:tcPr>
          <w:p>
            <w:pPr>
              <w:spacing w:after="0" w:line="250"/>
            </w:pPr>
            <w:r>
              <w:rPr>
                <w:color w:val="1A1A1A"/>
                <w:sz w:val="17"/>
                <w:szCs w:val="17"/>
              </w:rPr>
              <w:t xml:space="preserve">No material temporal drift: monthly no-show rate 42.2–53.8%, SD 2.9 pp, no trend across 18 months</w:t>
            </w:r>
          </w:p>
        </w:tc>
        <w:tc>
          <w:tcPr>
            <w:tcW w:type="dxa" w:w="3463"/>
            <w:shd w:fill="F4F7FA" w:color="auto" w:val="clear"/>
            <w:tcMar>
              <w:top w:type="dxa" w:w="70"/>
              <w:left w:type="dxa" w:w="100"/>
              <w:bottom w:type="dxa" w:w="70"/>
              <w:right w:type="dxa" w:w="100"/>
            </w:tcMar>
          </w:tcPr>
          <w:p>
            <w:pPr>
              <w:spacing w:after="0" w:line="250"/>
            </w:pPr>
            <w:r>
              <w:rPr>
                <w:color w:val="1A1A1A"/>
                <w:sz w:val="17"/>
                <w:szCs w:val="17"/>
              </w:rPr>
              <w:t xml:space="preserve">Confirms a chronological holdout is viable rather than confounded by drift</w:t>
            </w:r>
          </w:p>
        </w:tc>
      </w:tr>
      <w:tr>
        <w:trPr>
          <w:tblHeader w:val="false"/>
        </w:trPr>
        <w:tc>
          <w:tcPr>
            <w:tcW w:type="dxa" w:w="468"/>
            <w:shd w:fill="FFFFFF" w:color="auto" w:val="clear"/>
            <w:tcMar>
              <w:top w:type="dxa" w:w="70"/>
              <w:left w:type="dxa" w:w="100"/>
              <w:bottom w:type="dxa" w:w="70"/>
              <w:right w:type="dxa" w:w="100"/>
            </w:tcMar>
          </w:tcPr>
          <w:p>
            <w:pPr>
              <w:spacing w:after="0" w:line="250"/>
            </w:pPr>
            <w:r>
              <w:rPr>
                <w:color w:val="1A1A1A"/>
                <w:sz w:val="17"/>
                <w:szCs w:val="17"/>
              </w:rPr>
              <w:t xml:space="preserve">5</w:t>
            </w:r>
          </w:p>
        </w:tc>
        <w:tc>
          <w:tcPr>
            <w:tcW w:type="dxa" w:w="1123"/>
            <w:shd w:fill="FFFFFF" w:color="auto" w:val="clear"/>
            <w:tcMar>
              <w:top w:type="dxa" w:w="70"/>
              <w:left w:type="dxa" w:w="100"/>
              <w:bottom w:type="dxa" w:w="70"/>
              <w:right w:type="dxa" w:w="100"/>
            </w:tcMar>
          </w:tcPr>
          <w:p>
            <w:pPr>
              <w:spacing w:after="0" w:line="250"/>
            </w:pPr>
            <w:r>
              <w:rPr>
                <w:color w:val="1A1A1A"/>
                <w:sz w:val="17"/>
                <w:szCs w:val="17"/>
              </w:rPr>
              <w:t xml:space="preserve">DA → DS</w:t>
            </w:r>
          </w:p>
        </w:tc>
        <w:tc>
          <w:tcPr>
            <w:tcW w:type="dxa" w:w="4306"/>
            <w:shd w:fill="FFFFFF" w:color="auto" w:val="clear"/>
            <w:tcMar>
              <w:top w:type="dxa" w:w="70"/>
              <w:left w:type="dxa" w:w="100"/>
              <w:bottom w:type="dxa" w:w="70"/>
              <w:right w:type="dxa" w:w="100"/>
            </w:tcMar>
          </w:tcPr>
          <w:p>
            <w:pPr>
              <w:spacing w:after="0" w:line="250"/>
            </w:pPr>
            <w:r>
              <w:rPr>
                <w:color w:val="1A1A1A"/>
                <w:sz w:val="17"/>
                <w:szCs w:val="17"/>
              </w:rPr>
              <w:t xml:space="preserve">DATA INTEGRITY: waiting_time_minutes is populated for 2,386 of 2,423 no-shows, mean 24.20 min against 24.29 min for attended appointments. A non-attended appointment cannot accrue a clinic waiting time</w:t>
            </w:r>
          </w:p>
        </w:tc>
        <w:tc>
          <w:tcPr>
            <w:tcW w:type="dxa" w:w="3463"/>
            <w:shd w:fill="FFFFFF" w:color="auto" w:val="clear"/>
            <w:tcMar>
              <w:top w:type="dxa" w:w="70"/>
              <w:left w:type="dxa" w:w="100"/>
              <w:bottom w:type="dxa" w:w="70"/>
              <w:right w:type="dxa" w:w="100"/>
            </w:tcMar>
          </w:tcPr>
          <w:p>
            <w:pPr>
              <w:spacing w:after="0" w:line="250"/>
            </w:pPr>
            <w:r>
              <w:rPr>
                <w:color w:val="1A1A1A"/>
                <w:sz w:val="17"/>
                <w:szCs w:val="17"/>
              </w:rPr>
              <w:t xml:space="preserve">Feature excluded pending a Knowledge Base definition; query raised with Project Management</w:t>
            </w:r>
          </w:p>
        </w:tc>
      </w:tr>
      <w:tr>
        <w:trPr>
          <w:tblHeader w:val="false"/>
        </w:trPr>
        <w:tc>
          <w:tcPr>
            <w:tcW w:type="dxa" w:w="468"/>
            <w:shd w:fill="F4F7FA" w:color="auto" w:val="clear"/>
            <w:tcMar>
              <w:top w:type="dxa" w:w="70"/>
              <w:left w:type="dxa" w:w="100"/>
              <w:bottom w:type="dxa" w:w="70"/>
              <w:right w:type="dxa" w:w="100"/>
            </w:tcMar>
          </w:tcPr>
          <w:p>
            <w:pPr>
              <w:spacing w:after="0" w:line="250"/>
            </w:pPr>
            <w:r>
              <w:rPr>
                <w:color w:val="1A1A1A"/>
                <w:sz w:val="17"/>
                <w:szCs w:val="17"/>
              </w:rPr>
              <w:t xml:space="preserve">6</w:t>
            </w:r>
          </w:p>
        </w:tc>
        <w:tc>
          <w:tcPr>
            <w:tcW w:type="dxa" w:w="1123"/>
            <w:shd w:fill="F4F7FA" w:color="auto" w:val="clear"/>
            <w:tcMar>
              <w:top w:type="dxa" w:w="70"/>
              <w:left w:type="dxa" w:w="100"/>
              <w:bottom w:type="dxa" w:w="70"/>
              <w:right w:type="dxa" w:w="100"/>
            </w:tcMar>
          </w:tcPr>
          <w:p>
            <w:pPr>
              <w:spacing w:after="0" w:line="250"/>
            </w:pPr>
            <w:r>
              <w:rPr>
                <w:color w:val="1A1A1A"/>
                <w:sz w:val="17"/>
                <w:szCs w:val="17"/>
              </w:rPr>
              <w:t xml:space="preserve">DS → DA</w:t>
            </w:r>
          </w:p>
        </w:tc>
        <w:tc>
          <w:tcPr>
            <w:tcW w:type="dxa" w:w="4306"/>
            <w:shd w:fill="F4F7FA" w:color="auto" w:val="clear"/>
            <w:tcMar>
              <w:top w:type="dxa" w:w="70"/>
              <w:left w:type="dxa" w:w="100"/>
              <w:bottom w:type="dxa" w:w="70"/>
              <w:right w:type="dxa" w:w="100"/>
            </w:tcMar>
          </w:tcPr>
          <w:p>
            <w:pPr>
              <w:spacing w:after="0" w:line="250"/>
            </w:pPr>
            <w:r>
              <w:rPr>
                <w:color w:val="1A1A1A"/>
                <w:sz w:val="17"/>
                <w:szCs w:val="17"/>
              </w:rPr>
              <w:t xml:space="preserve">Question: collapse the three-class outcome to binary?</w:t>
            </w:r>
          </w:p>
        </w:tc>
        <w:tc>
          <w:tcPr>
            <w:tcW w:type="dxa" w:w="3463"/>
            <w:shd w:fill="F4F7FA" w:color="auto" w:val="clear"/>
            <w:tcMar>
              <w:top w:type="dxa" w:w="70"/>
              <w:left w:type="dxa" w:w="100"/>
              <w:bottom w:type="dxa" w:w="70"/>
              <w:right w:type="dxa" w:w="100"/>
            </w:tcMar>
          </w:tcPr>
          <w:p>
            <w:pPr>
              <w:spacing w:after="0" w:line="250"/>
            </w:pPr>
            <w:r>
              <w:rPr>
                <w:color w:val="1A1A1A"/>
                <w:sz w:val="17"/>
                <w:szCs w:val="17"/>
              </w:rPr>
              <w:t xml:space="preserve">DA recommended binary No-Show vs not No-Show, because cancellations (5.26%) release the slot and are operationally distinct; and recommended 51.15% (the non-cancelled no-show rate) as the class-balance reference rather than 48.46%</w:t>
            </w:r>
          </w:p>
        </w:tc>
      </w:tr>
      <w:tr>
        <w:trPr>
          <w:tblHeader w:val="false"/>
        </w:trPr>
        <w:tc>
          <w:tcPr>
            <w:tcW w:type="dxa" w:w="468"/>
            <w:shd w:fill="FFFFFF" w:color="auto" w:val="clear"/>
            <w:tcMar>
              <w:top w:type="dxa" w:w="70"/>
              <w:left w:type="dxa" w:w="100"/>
              <w:bottom w:type="dxa" w:w="70"/>
              <w:right w:type="dxa" w:w="100"/>
            </w:tcMar>
          </w:tcPr>
          <w:p>
            <w:pPr>
              <w:spacing w:after="0" w:line="250"/>
            </w:pPr>
            <w:r>
              <w:rPr>
                <w:color w:val="1A1A1A"/>
                <w:sz w:val="17"/>
                <w:szCs w:val="17"/>
              </w:rPr>
              <w:t xml:space="preserve">7</w:t>
            </w:r>
          </w:p>
        </w:tc>
        <w:tc>
          <w:tcPr>
            <w:tcW w:type="dxa" w:w="1123"/>
            <w:shd w:fill="FFFFFF" w:color="auto" w:val="clear"/>
            <w:tcMar>
              <w:top w:type="dxa" w:w="70"/>
              <w:left w:type="dxa" w:w="100"/>
              <w:bottom w:type="dxa" w:w="70"/>
              <w:right w:type="dxa" w:w="100"/>
            </w:tcMar>
          </w:tcPr>
          <w:p>
            <w:pPr>
              <w:spacing w:after="0" w:line="250"/>
            </w:pPr>
            <w:r>
              <w:rPr>
                <w:color w:val="1A1A1A"/>
                <w:sz w:val="17"/>
                <w:szCs w:val="17"/>
              </w:rPr>
              <w:t xml:space="preserve">DA → DS</w:t>
            </w:r>
          </w:p>
        </w:tc>
        <w:tc>
          <w:tcPr>
            <w:tcW w:type="dxa" w:w="4306"/>
            <w:shd w:fill="FFFFFF" w:color="auto" w:val="clear"/>
            <w:tcMar>
              <w:top w:type="dxa" w:w="70"/>
              <w:left w:type="dxa" w:w="100"/>
              <w:bottom w:type="dxa" w:w="70"/>
              <w:right w:type="dxa" w:w="100"/>
            </w:tcMar>
          </w:tcPr>
          <w:p>
            <w:pPr>
              <w:spacing w:after="0" w:line="250"/>
            </w:pPr>
            <w:r>
              <w:rPr>
                <w:color w:val="1A1A1A"/>
                <w:sz w:val="17"/>
                <w:szCs w:val="17"/>
              </w:rPr>
              <w:t xml:space="preserve">Rule-based risk tier supplied as a labelled cohort: High tier 71.94% vs Low tier 30.87%, lift 1.48, no model required</w:t>
            </w:r>
          </w:p>
        </w:tc>
        <w:tc>
          <w:tcPr>
            <w:tcW w:type="dxa" w:w="3463"/>
            <w:shd w:fill="FFFFFF" w:color="auto" w:val="clear"/>
            <w:tcMar>
              <w:top w:type="dxa" w:w="70"/>
              <w:left w:type="dxa" w:w="100"/>
              <w:bottom w:type="dxa" w:w="70"/>
              <w:right w:type="dxa" w:w="100"/>
            </w:tcMar>
          </w:tcPr>
          <w:p>
            <w:pPr>
              <w:spacing w:after="0" w:line="250"/>
            </w:pPr>
            <w:r>
              <w:rPr>
                <w:color w:val="1A1A1A"/>
                <w:sz w:val="17"/>
                <w:szCs w:val="17"/>
              </w:rPr>
              <w:t xml:space="preserve">Adopted as the baseline the improved model must beat on precision within the top-risk decile</w:t>
            </w:r>
          </w:p>
        </w:tc>
      </w:tr>
      <w:tr>
        <w:trPr>
          <w:tblHeader w:val="false"/>
        </w:trPr>
        <w:tc>
          <w:tcPr>
            <w:tcW w:type="dxa" w:w="468"/>
            <w:shd w:fill="F4F7FA" w:color="auto" w:val="clear"/>
            <w:tcMar>
              <w:top w:type="dxa" w:w="70"/>
              <w:left w:type="dxa" w:w="100"/>
              <w:bottom w:type="dxa" w:w="70"/>
              <w:right w:type="dxa" w:w="100"/>
            </w:tcMar>
          </w:tcPr>
          <w:p>
            <w:pPr>
              <w:spacing w:after="0" w:line="250"/>
            </w:pPr>
            <w:r>
              <w:rPr>
                <w:color w:val="1A1A1A"/>
                <w:sz w:val="17"/>
                <w:szCs w:val="17"/>
              </w:rPr>
              <w:t xml:space="preserve">8</w:t>
            </w:r>
          </w:p>
        </w:tc>
        <w:tc>
          <w:tcPr>
            <w:tcW w:type="dxa" w:w="1123"/>
            <w:shd w:fill="F4F7FA" w:color="auto" w:val="clear"/>
            <w:tcMar>
              <w:top w:type="dxa" w:w="70"/>
              <w:left w:type="dxa" w:w="100"/>
              <w:bottom w:type="dxa" w:w="70"/>
              <w:right w:type="dxa" w:w="100"/>
            </w:tcMar>
          </w:tcPr>
          <w:p>
            <w:pPr>
              <w:spacing w:after="0" w:line="250"/>
            </w:pPr>
            <w:r>
              <w:rPr>
                <w:color w:val="1A1A1A"/>
                <w:sz w:val="17"/>
                <w:szCs w:val="17"/>
              </w:rPr>
              <w:t xml:space="preserve">DA → DS</w:t>
            </w:r>
          </w:p>
        </w:tc>
        <w:tc>
          <w:tcPr>
            <w:tcW w:type="dxa" w:w="4306"/>
            <w:shd w:fill="F4F7FA" w:color="auto" w:val="clear"/>
            <w:tcMar>
              <w:top w:type="dxa" w:w="70"/>
              <w:left w:type="dxa" w:w="100"/>
              <w:bottom w:type="dxa" w:w="70"/>
              <w:right w:type="dxa" w:w="100"/>
            </w:tcMar>
          </w:tcPr>
          <w:p>
            <w:pPr>
              <w:spacing w:after="0" w:line="250"/>
            </w:pPr>
            <w:r>
              <w:rPr>
                <w:color w:val="1A1A1A"/>
                <w:sz w:val="17"/>
                <w:szCs w:val="17"/>
              </w:rPr>
              <w:t xml:space="preserve">A four-variable logistic model reaches only pseudo R² = 0.075 (in-sample AUC ≈ 0.68); the measured variables explain little</w:t>
            </w:r>
          </w:p>
        </w:tc>
        <w:tc>
          <w:tcPr>
            <w:tcW w:type="dxa" w:w="3463"/>
            <w:shd w:fill="F4F7FA" w:color="auto" w:val="clear"/>
            <w:tcMar>
              <w:top w:type="dxa" w:w="70"/>
              <w:left w:type="dxa" w:w="100"/>
              <w:bottom w:type="dxa" w:w="70"/>
              <w:right w:type="dxa" w:w="100"/>
            </w:tcMar>
          </w:tcPr>
          <w:p>
            <w:pPr>
              <w:spacing w:after="0" w:line="250"/>
            </w:pPr>
            <w:r>
              <w:rPr>
                <w:color w:val="1A1A1A"/>
                <w:sz w:val="17"/>
                <w:szCs w:val="17"/>
              </w:rPr>
              <w:t xml:space="preserve">Week 7 success criterion moved from accuracy to ranking quality (AUC, precision at top-k), framed as prioritising limited outreach capacity</w:t>
            </w:r>
          </w:p>
        </w:tc>
      </w:tr>
    </w:tbl>
    <w:p>
      <w:pPr>
        <w:pStyle w:val="Heading1"/>
      </w:pPr>
      <w:r>
        <w:t xml:space="preserve">3. What changed as a result</w:t>
      </w:r>
    </w:p>
    <w:p>
      <w:pPr>
        <w:pStyle w:val="Heading3"/>
      </w:pPr>
      <w:r>
        <w:t xml:space="preserve">In the Data Science track's work</w:t>
      </w:r>
    </w:p>
    <w:p>
      <w:pPr>
        <w:pStyle w:val="ListParagraph"/>
        <w:numPr>
          <w:ilvl w:val="0"/>
          <w:numId w:val="2"/>
        </w:numPr>
        <w:spacing w:after="60"/>
      </w:pPr>
      <w:r>
        <w:t xml:space="preserve">Candidate feature set reduced from all 18 columns to seven evidence-supported features.</w:t>
      </w:r>
    </w:p>
    <w:p>
      <w:pPr>
        <w:pStyle w:val="ListParagraph"/>
        <w:numPr>
          <w:ilvl w:val="0"/>
          <w:numId w:val="2"/>
        </w:numPr>
        <w:spacing w:after="60"/>
      </w:pPr>
      <w:r>
        <w:t xml:space="preserve">Validation design changed from a random 80/20 split to a patient-grouped split — the change most likely to have prevented an over-optimistic Week 7 evaluation result.</w:t>
      </w:r>
    </w:p>
    <w:p>
      <w:pPr>
        <w:pStyle w:val="ListParagraph"/>
        <w:numPr>
          <w:ilvl w:val="0"/>
          <w:numId w:val="2"/>
        </w:numPr>
        <w:spacing w:after="60"/>
      </w:pPr>
      <w:r>
        <w:t xml:space="preserve">waiting_time_minutes excluded pending a definition.</w:t>
      </w:r>
    </w:p>
    <w:p>
      <w:pPr>
        <w:pStyle w:val="ListParagraph"/>
        <w:numPr>
          <w:ilvl w:val="0"/>
          <w:numId w:val="2"/>
        </w:numPr>
        <w:spacing w:after="60"/>
      </w:pPr>
      <w:r>
        <w:t xml:space="preserve">Target definition fixed as binary, with 51.15% as the class-balance reference.</w:t>
      </w:r>
    </w:p>
    <w:p>
      <w:pPr>
        <w:pStyle w:val="ListParagraph"/>
        <w:numPr>
          <w:ilvl w:val="0"/>
          <w:numId w:val="2"/>
        </w:numPr>
        <w:spacing w:after="60"/>
      </w:pPr>
      <w:r>
        <w:t xml:space="preserve">Success criterion changed from accuracy to ranking quality, with an explicit benchmark to beat.</w:t>
      </w:r>
    </w:p>
    <w:p>
      <w:pPr>
        <w:pStyle w:val="Heading3"/>
      </w:pPr>
      <w:r>
        <w:t xml:space="preserve">In the Data Analytics track's own work</w:t>
      </w:r>
    </w:p>
    <w:p>
      <w:pPr>
        <w:pStyle w:val="ListParagraph"/>
        <w:numPr>
          <w:ilvl w:val="0"/>
          <w:numId w:val="2"/>
        </w:numPr>
        <w:spacing w:after="60"/>
      </w:pPr>
      <w:r>
        <w:t xml:space="preserve">The class-balance reference required the new Unrecoverable Slot Loss Rate KPI, now reported to the clinic in its own right.</w:t>
      </w:r>
    </w:p>
    <w:p>
      <w:pPr>
        <w:pStyle w:val="ListParagraph"/>
        <w:numPr>
          <w:ilvl w:val="0"/>
          <w:numId w:val="2"/>
        </w:numPr>
        <w:spacing w:after="60"/>
      </w:pPr>
      <w:r>
        <w:t xml:space="preserve">Producing the feature specification forced the collapse of previous_no_shows into 0 / 1 / 2+ bands across all Week 6 reporting, replacing the unstable Week 5 bands.</w:t>
      </w:r>
    </w:p>
    <w:p>
      <w:pPr>
        <w:pStyle w:val="ListParagraph"/>
        <w:numPr>
          <w:ilvl w:val="0"/>
          <w:numId w:val="2"/>
        </w:numPr>
        <w:spacing w:after="60"/>
      </w:pPr>
      <w:r>
        <w:t xml:space="preserve">The request for exclusions prompted the waiting_time_minutes integrity check, which was not planned for Week 6 and became the week's most serious data-quality finding.</w:t>
      </w:r>
    </w:p>
    <w:p>
      <w:pPr>
        <w:pStyle w:val="Heading1"/>
      </w:pPr>
      <w:r>
        <w:t xml:space="preserve">4. Evidence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1F3A5F" w:color="auto" w:val="clear"/>
            <w:tcMar>
              <w:top w:type="dxa" w:w="70"/>
              <w:left w:type="dxa" w:w="100"/>
              <w:bottom w:type="dxa" w:w="70"/>
              <w:right w:type="dxa" w:w="100"/>
            </w:tcMar>
          </w:tcPr>
          <w:p>
            <w:pPr>
              <w:spacing w:after="0" w:line="250"/>
            </w:pPr>
            <w:r>
              <w:rPr>
                <w:b/>
                <w:bCs/>
                <w:color w:val="FFFFFF"/>
                <w:sz w:val="17"/>
                <w:szCs w:val="17"/>
              </w:rPr>
              <w:t xml:space="preserve">File</w:t>
            </w:r>
          </w:p>
        </w:tc>
        <w:tc>
          <w:tcPr>
            <w:tcW w:type="dxa" w:w="5429"/>
            <w:shd w:fill="1F3A5F" w:color="auto" w:val="clear"/>
            <w:tcMar>
              <w:top w:type="dxa" w:w="70"/>
              <w:left w:type="dxa" w:w="100"/>
              <w:bottom w:type="dxa" w:w="70"/>
              <w:right w:type="dxa" w:w="100"/>
            </w:tcMar>
          </w:tcPr>
          <w:p>
            <w:pPr>
              <w:spacing w:after="0" w:line="250"/>
            </w:pPr>
            <w:r>
              <w:rPr>
                <w:b/>
                <w:bCs/>
                <w:color w:val="FFFFFF"/>
                <w:sz w:val="17"/>
                <w:szCs w:val="17"/>
              </w:rPr>
              <w:t xml:space="preserve">What it evidences</w:t>
            </w:r>
          </w:p>
        </w:tc>
      </w:tr>
      <w:tr>
        <w:trPr>
          <w:tblHeader w:val="false"/>
        </w:trPr>
        <w:tc>
          <w:tcPr>
            <w:tcW w:type="dxa" w:w="3931"/>
            <w:shd w:fill="FFFFFF" w:color="auto" w:val="clear"/>
            <w:tcMar>
              <w:top w:type="dxa" w:w="70"/>
              <w:left w:type="dxa" w:w="100"/>
              <w:bottom w:type="dxa" w:w="70"/>
              <w:right w:type="dxa" w:w="100"/>
            </w:tcMar>
          </w:tcPr>
          <w:p>
            <w:pPr>
              <w:spacing w:after="0" w:line="250"/>
            </w:pPr>
            <w:r>
              <w:rPr>
                <w:b w:val="false"/>
                <w:bCs w:val="false"/>
                <w:color w:val="1A1A1A"/>
                <w:sz w:val="17"/>
                <w:szCs w:val="17"/>
              </w:rPr>
              <w:t xml:space="preserve">HealthConnect_Week6_Feature_Specification.csv</w:t>
            </w:r>
          </w:p>
        </w:tc>
        <w:tc>
          <w:tcPr>
            <w:tcW w:type="dxa" w:w="5429"/>
            <w:shd w:fill="FFFFFF" w:color="auto" w:val="clear"/>
            <w:tcMar>
              <w:top w:type="dxa" w:w="70"/>
              <w:left w:type="dxa" w:w="100"/>
              <w:bottom w:type="dxa" w:w="70"/>
              <w:right w:type="dxa" w:w="100"/>
            </w:tcMar>
          </w:tcPr>
          <w:p>
            <w:pPr>
              <w:spacing w:after="0" w:line="250"/>
            </w:pPr>
            <w:r>
              <w:rPr>
                <w:b w:val="false"/>
                <w:bCs w:val="false"/>
                <w:color w:val="1A1A1A"/>
                <w:sz w:val="17"/>
                <w:szCs w:val="17"/>
              </w:rPr>
              <w:t xml:space="preserve">15 variables with test statistic, effect size, adjusted odds ratio, p-value, an INCLUDE / OPTIONAL / EXCLUDE recommendation and a modelling note — the primary handover artefact</w:t>
            </w:r>
          </w:p>
        </w:tc>
      </w:tr>
      <w:tr>
        <w:trPr>
          <w:tblHeader w:val="false"/>
        </w:trPr>
        <w:tc>
          <w:tcPr>
            <w:tcW w:type="dxa" w:w="3931"/>
            <w:shd w:fill="F4F7FA" w:color="auto" w:val="clear"/>
            <w:tcMar>
              <w:top w:type="dxa" w:w="70"/>
              <w:left w:type="dxa" w:w="100"/>
              <w:bottom w:type="dxa" w:w="70"/>
              <w:right w:type="dxa" w:w="100"/>
            </w:tcMar>
          </w:tcPr>
          <w:p>
            <w:pPr>
              <w:spacing w:after="0" w:line="250"/>
            </w:pPr>
            <w:r>
              <w:rPr>
                <w:b w:val="false"/>
                <w:bCs w:val="false"/>
                <w:color w:val="1A1A1A"/>
                <w:sz w:val="17"/>
                <w:szCs w:val="17"/>
              </w:rPr>
              <w:t xml:space="preserve">HealthConnect_Week6_Validated_Findings.csv</w:t>
            </w:r>
          </w:p>
        </w:tc>
        <w:tc>
          <w:tcPr>
            <w:tcW w:type="dxa" w:w="5429"/>
            <w:shd w:fill="F4F7FA" w:color="auto" w:val="clear"/>
            <w:tcMar>
              <w:top w:type="dxa" w:w="70"/>
              <w:left w:type="dxa" w:w="100"/>
              <w:bottom w:type="dxa" w:w="70"/>
              <w:right w:type="dxa" w:w="100"/>
            </w:tcMar>
          </w:tcPr>
          <w:p>
            <w:pPr>
              <w:spacing w:after="0" w:line="250"/>
            </w:pPr>
            <w:r>
              <w:rPr>
                <w:b w:val="false"/>
                <w:bCs w:val="false"/>
                <w:color w:val="1A1A1A"/>
                <w:sz w:val="17"/>
                <w:szCs w:val="17"/>
              </w:rPr>
              <w:t xml:space="preserve">Chi-square, degrees of freedom, p-value, Cramér's V and a Week 6 verdict for each of the eleven relationships, mapped to the Week 5 claim it tests</w:t>
            </w:r>
          </w:p>
        </w:tc>
      </w:tr>
      <w:tr>
        <w:trPr>
          <w:tblHeader w:val="false"/>
        </w:trPr>
        <w:tc>
          <w:tcPr>
            <w:tcW w:type="dxa" w:w="3931"/>
            <w:shd w:fill="FFFFFF" w:color="auto" w:val="clear"/>
            <w:tcMar>
              <w:top w:type="dxa" w:w="70"/>
              <w:left w:type="dxa" w:w="100"/>
              <w:bottom w:type="dxa" w:w="70"/>
              <w:right w:type="dxa" w:w="100"/>
            </w:tcMar>
          </w:tcPr>
          <w:p>
            <w:pPr>
              <w:spacing w:after="0" w:line="250"/>
            </w:pPr>
            <w:r>
              <w:rPr>
                <w:b w:val="false"/>
                <w:bCs w:val="false"/>
                <w:color w:val="1A1A1A"/>
                <w:sz w:val="17"/>
                <w:szCs w:val="17"/>
              </w:rPr>
              <w:t xml:space="preserve">HealthConnect_Week6_Risk_Tier_Cohort.csv</w:t>
            </w:r>
          </w:p>
        </w:tc>
        <w:tc>
          <w:tcPr>
            <w:tcW w:type="dxa" w:w="5429"/>
            <w:shd w:fill="FFFFFF" w:color="auto" w:val="clear"/>
            <w:tcMar>
              <w:top w:type="dxa" w:w="70"/>
              <w:left w:type="dxa" w:w="100"/>
              <w:bottom w:type="dxa" w:w="70"/>
              <w:right w:type="dxa" w:w="100"/>
            </w:tcMar>
          </w:tcPr>
          <w:p>
            <w:pPr>
              <w:spacing w:after="0" w:line="250"/>
            </w:pPr>
            <w:r>
              <w:rPr>
                <w:b w:val="false"/>
                <w:bCs w:val="false"/>
                <w:color w:val="1A1A1A"/>
                <w:sz w:val="17"/>
                <w:szCs w:val="17"/>
              </w:rPr>
              <w:t xml:space="preserve">All 5,000 appointments with risk score, risk tier and the binary target — the benchmark cohort supplied to the Data Science track</w:t>
            </w:r>
          </w:p>
        </w:tc>
      </w:tr>
      <w:tr>
        <w:trPr>
          <w:tblHeader w:val="false"/>
        </w:trPr>
        <w:tc>
          <w:tcPr>
            <w:tcW w:type="dxa" w:w="3931"/>
            <w:shd w:fill="F4F7FA" w:color="auto" w:val="clear"/>
            <w:tcMar>
              <w:top w:type="dxa" w:w="70"/>
              <w:left w:type="dxa" w:w="100"/>
              <w:bottom w:type="dxa" w:w="70"/>
              <w:right w:type="dxa" w:w="100"/>
            </w:tcMar>
          </w:tcPr>
          <w:p>
            <w:pPr>
              <w:spacing w:after="0" w:line="250"/>
            </w:pPr>
            <w:r>
              <w:rPr>
                <w:b w:val="false"/>
                <w:bCs w:val="false"/>
                <w:color w:val="1A1A1A"/>
                <w:sz w:val="17"/>
                <w:szCs w:val="17"/>
              </w:rPr>
              <w:t xml:space="preserve">HealthConnect_Week6_Refined_KPIs.csv</w:t>
            </w:r>
          </w:p>
        </w:tc>
        <w:tc>
          <w:tcPr>
            <w:tcW w:type="dxa" w:w="5429"/>
            <w:shd w:fill="F4F7FA" w:color="auto" w:val="clear"/>
            <w:tcMar>
              <w:top w:type="dxa" w:w="70"/>
              <w:left w:type="dxa" w:w="100"/>
              <w:bottom w:type="dxa" w:w="70"/>
              <w:right w:type="dxa" w:w="100"/>
            </w:tcMar>
          </w:tcPr>
          <w:p>
            <w:pPr>
              <w:spacing w:after="0" w:line="250"/>
            </w:pPr>
            <w:r>
              <w:rPr>
                <w:b w:val="false"/>
                <w:bCs w:val="false"/>
                <w:color w:val="1A1A1A"/>
                <w:sz w:val="17"/>
                <w:szCs w:val="17"/>
              </w:rPr>
              <w:t xml:space="preserve">Eight KPIs with definition, value, status (Week 5 validated / Week 6 new) and rationale</w:t>
            </w:r>
          </w:p>
        </w:tc>
      </w:tr>
      <w:tr>
        <w:trPr>
          <w:tblHeader w:val="false"/>
        </w:trPr>
        <w:tc>
          <w:tcPr>
            <w:tcW w:type="dxa" w:w="3931"/>
            <w:shd w:fill="FFFFFF" w:color="auto" w:val="clear"/>
            <w:tcMar>
              <w:top w:type="dxa" w:w="70"/>
              <w:left w:type="dxa" w:w="100"/>
              <w:bottom w:type="dxa" w:w="70"/>
              <w:right w:type="dxa" w:w="100"/>
            </w:tcMar>
          </w:tcPr>
          <w:p>
            <w:pPr>
              <w:spacing w:after="0" w:line="250"/>
            </w:pPr>
            <w:r>
              <w:rPr>
                <w:b w:val="false"/>
                <w:bCs w:val="false"/>
                <w:color w:val="1A1A1A"/>
                <w:sz w:val="17"/>
                <w:szCs w:val="17"/>
              </w:rPr>
              <w:t xml:space="preserve">HealthConnect_Week6_Issue_Log.csv</w:t>
            </w:r>
          </w:p>
        </w:tc>
        <w:tc>
          <w:tcPr>
            <w:tcW w:type="dxa" w:w="5429"/>
            <w:shd w:fill="FFFFFF" w:color="auto" w:val="clear"/>
            <w:tcMar>
              <w:top w:type="dxa" w:w="70"/>
              <w:left w:type="dxa" w:w="100"/>
              <w:bottom w:type="dxa" w:w="70"/>
              <w:right w:type="dxa" w:w="100"/>
            </w:tcMar>
          </w:tcPr>
          <w:p>
            <w:pPr>
              <w:spacing w:after="0" w:line="250"/>
            </w:pPr>
            <w:r>
              <w:rPr>
                <w:b w:val="false"/>
                <w:bCs w:val="false"/>
                <w:color w:val="1A1A1A"/>
                <w:sz w:val="17"/>
                <w:szCs w:val="17"/>
              </w:rPr>
              <w:t xml:space="preserve">Issues resolved, outstanding and newly discovered, with severity, impact, owner and mitigation</w:t>
            </w:r>
          </w:p>
        </w:tc>
      </w:tr>
      <w:tr>
        <w:trPr>
          <w:tblHeader w:val="false"/>
        </w:trPr>
        <w:tc>
          <w:tcPr>
            <w:tcW w:type="dxa" w:w="3931"/>
            <w:shd w:fill="F4F7FA" w:color="auto" w:val="clear"/>
            <w:tcMar>
              <w:top w:type="dxa" w:w="70"/>
              <w:left w:type="dxa" w:w="100"/>
              <w:bottom w:type="dxa" w:w="70"/>
              <w:right w:type="dxa" w:w="100"/>
            </w:tcMar>
          </w:tcPr>
          <w:p>
            <w:pPr>
              <w:spacing w:after="0" w:line="250"/>
            </w:pPr>
            <w:r>
              <w:rPr>
                <w:b w:val="false"/>
                <w:bCs w:val="false"/>
                <w:color w:val="1A1A1A"/>
                <w:sz w:val="17"/>
                <w:szCs w:val="17"/>
              </w:rPr>
              <w:t xml:space="preserve">HealthConnect_Week6_Advanced_Analytics.ipynb</w:t>
            </w:r>
          </w:p>
        </w:tc>
        <w:tc>
          <w:tcPr>
            <w:tcW w:type="dxa" w:w="5429"/>
            <w:shd w:fill="F4F7FA" w:color="auto" w:val="clear"/>
            <w:tcMar>
              <w:top w:type="dxa" w:w="70"/>
              <w:left w:type="dxa" w:w="100"/>
              <w:bottom w:type="dxa" w:w="70"/>
              <w:right w:type="dxa" w:w="100"/>
            </w:tcMar>
          </w:tcPr>
          <w:p>
            <w:pPr>
              <w:spacing w:after="0" w:line="250"/>
            </w:pPr>
            <w:r>
              <w:rPr>
                <w:b w:val="false"/>
                <w:bCs w:val="false"/>
                <w:color w:val="1A1A1A"/>
                <w:sz w:val="17"/>
                <w:szCs w:val="17"/>
              </w:rPr>
              <w:t xml:space="preserve">The executed analysis producing every figure quoted in this record</w:t>
            </w:r>
          </w:p>
        </w:tc>
      </w:tr>
      <w:tr>
        <w:trPr>
          <w:tblHeader w:val="false"/>
        </w:trPr>
        <w:tc>
          <w:tcPr>
            <w:tcW w:type="dxa" w:w="3931"/>
            <w:shd w:fill="FFFFFF" w:color="auto" w:val="clear"/>
            <w:tcMar>
              <w:top w:type="dxa" w:w="70"/>
              <w:left w:type="dxa" w:w="100"/>
              <w:bottom w:type="dxa" w:w="70"/>
              <w:right w:type="dxa" w:w="100"/>
            </w:tcMar>
          </w:tcPr>
          <w:p>
            <w:pPr>
              <w:spacing w:after="0" w:line="250"/>
            </w:pPr>
            <w:r>
              <w:rPr>
                <w:b w:val="false"/>
                <w:bCs w:val="false"/>
                <w:color w:val="1A1A1A"/>
                <w:sz w:val="17"/>
                <w:szCs w:val="17"/>
              </w:rPr>
              <w:t xml:space="preserve">HealthConnect_Week6_Dashboard.png</w:t>
            </w:r>
          </w:p>
        </w:tc>
        <w:tc>
          <w:tcPr>
            <w:tcW w:type="dxa" w:w="5429"/>
            <w:shd w:fill="FFFFFF" w:color="auto" w:val="clear"/>
            <w:tcMar>
              <w:top w:type="dxa" w:w="70"/>
              <w:left w:type="dxa" w:w="100"/>
              <w:bottom w:type="dxa" w:w="70"/>
              <w:right w:type="dxa" w:w="100"/>
            </w:tcMar>
          </w:tcPr>
          <w:p>
            <w:pPr>
              <w:spacing w:after="0" w:line="250"/>
            </w:pPr>
            <w:r>
              <w:rPr>
                <w:b w:val="false"/>
                <w:bCs w:val="false"/>
                <w:color w:val="1A1A1A"/>
                <w:sz w:val="17"/>
                <w:szCs w:val="17"/>
              </w:rPr>
              <w:t xml:space="preserve">The six-panel decision-support view</w:t>
            </w:r>
          </w:p>
        </w:tc>
      </w:tr>
    </w:tbl>
    <w:p>
      <w:pPr>
        <w:pStyle w:val="Heading1"/>
      </w:pPr>
      <w:r>
        <w:t xml:space="preserve">5. Integration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A5F" w:color="auto" w:val="clear"/>
            <w:tcMar>
              <w:top w:type="dxa" w:w="70"/>
              <w:left w:type="dxa" w:w="100"/>
              <w:bottom w:type="dxa" w:w="70"/>
              <w:right w:type="dxa" w:w="100"/>
            </w:tcMar>
          </w:tcPr>
          <w:p>
            <w:pPr>
              <w:spacing w:after="0" w:line="250"/>
            </w:pPr>
            <w:r>
              <w:rPr>
                <w:b/>
                <w:bCs/>
                <w:color w:val="FFFFFF"/>
                <w:sz w:val="17"/>
                <w:szCs w:val="17"/>
              </w:rPr>
              <w:t xml:space="preserve">Question</w:t>
            </w:r>
          </w:p>
        </w:tc>
        <w:tc>
          <w:tcPr>
            <w:tcW w:type="dxa" w:w="6552"/>
            <w:shd w:fill="1F3A5F" w:color="auto" w:val="clear"/>
            <w:tcMar>
              <w:top w:type="dxa" w:w="70"/>
              <w:left w:type="dxa" w:w="100"/>
              <w:bottom w:type="dxa" w:w="70"/>
              <w:right w:type="dxa" w:w="100"/>
            </w:tcMar>
          </w:tcPr>
          <w:p>
            <w:pPr>
              <w:spacing w:after="0" w:line="250"/>
            </w:pPr>
            <w:r>
              <w:rPr>
                <w:b/>
                <w:bCs/>
                <w:color w:val="FFFFFF"/>
                <w:sz w:val="17"/>
                <w:szCs w:val="17"/>
              </w:rPr>
              <w:t xml:space="preserve">Answer</w:t>
            </w:r>
          </w:p>
        </w:tc>
      </w:tr>
      <w:tr>
        <w:trPr>
          <w:tblHeader w:val="false"/>
        </w:trPr>
        <w:tc>
          <w:tcPr>
            <w:tcW w:type="dxa" w:w="2808"/>
            <w:shd w:fill="FFFFFF" w:color="auto" w:val="clear"/>
            <w:tcMar>
              <w:top w:type="dxa" w:w="70"/>
              <w:left w:type="dxa" w:w="100"/>
              <w:bottom w:type="dxa" w:w="70"/>
              <w:right w:type="dxa" w:w="100"/>
            </w:tcMar>
          </w:tcPr>
          <w:p>
            <w:pPr>
              <w:spacing w:after="0" w:line="250"/>
            </w:pPr>
            <w:r>
              <w:rPr>
                <w:b/>
                <w:bCs/>
                <w:color w:val="1A1A1A"/>
                <w:sz w:val="17"/>
                <w:szCs w:val="17"/>
              </w:rPr>
              <w:t xml:space="preserve">What did I have at the end of Week 5?</w:t>
            </w:r>
          </w:p>
        </w:tc>
        <w:tc>
          <w:tcPr>
            <w:tcW w:type="dxa" w:w="6552"/>
            <w:shd w:fill="FFFFFF" w:color="auto" w:val="clear"/>
            <w:tcMar>
              <w:top w:type="dxa" w:w="70"/>
              <w:left w:type="dxa" w:w="100"/>
              <w:bottom w:type="dxa" w:w="70"/>
              <w:right w:type="dxa" w:w="100"/>
            </w:tcMar>
          </w:tcPr>
          <w:p>
            <w:pPr>
              <w:spacing w:after="0" w:line="250"/>
            </w:pPr>
            <w:r>
              <w:rPr>
                <w:b w:val="false"/>
                <w:bCs w:val="false"/>
                <w:color w:val="1A1A1A"/>
                <w:sz w:val="17"/>
                <w:szCs w:val="17"/>
              </w:rPr>
              <w:t xml:space="preserve">A cleaned dataset, four KPIs, nine exploratory charts and six insights stated as raw percentage differences, with an identified but unused dependency on the Data Science track</w:t>
            </w:r>
          </w:p>
        </w:tc>
      </w:tr>
      <w:tr>
        <w:trPr>
          <w:tblHeader w:val="false"/>
        </w:trPr>
        <w:tc>
          <w:tcPr>
            <w:tcW w:type="dxa" w:w="2808"/>
            <w:shd w:fill="F4F7FA" w:color="auto" w:val="clear"/>
            <w:tcMar>
              <w:top w:type="dxa" w:w="70"/>
              <w:left w:type="dxa" w:w="100"/>
              <w:bottom w:type="dxa" w:w="70"/>
              <w:right w:type="dxa" w:w="100"/>
            </w:tcMar>
          </w:tcPr>
          <w:p>
            <w:pPr>
              <w:spacing w:after="0" w:line="250"/>
            </w:pPr>
            <w:r>
              <w:rPr>
                <w:b/>
                <w:bCs/>
                <w:color w:val="1A1A1A"/>
                <w:sz w:val="17"/>
                <w:szCs w:val="17"/>
              </w:rPr>
              <w:t xml:space="preserve">What did I improve in Week 6?</w:t>
            </w:r>
          </w:p>
        </w:tc>
        <w:tc>
          <w:tcPr>
            <w:tcW w:type="dxa" w:w="6552"/>
            <w:shd w:fill="F4F7FA" w:color="auto" w:val="clear"/>
            <w:tcMar>
              <w:top w:type="dxa" w:w="70"/>
              <w:left w:type="dxa" w:w="100"/>
              <w:bottom w:type="dxa" w:w="70"/>
              <w:right w:type="dxa" w:w="100"/>
            </w:tcMar>
          </w:tcPr>
          <w:p>
            <w:pPr>
              <w:spacing w:after="0" w:line="250"/>
            </w:pPr>
            <w:r>
              <w:rPr>
                <w:b w:val="false"/>
                <w:bCs w:val="false"/>
                <w:color w:val="1A1A1A"/>
                <w:sz w:val="17"/>
                <w:szCs w:val="17"/>
              </w:rPr>
              <w:t xml:space="preserve">Every finding tested for significance and effect size; multivariate adjustment; two recommendations withdrawn or downgraded; four new decision KPIs; a validated risk tier; a rebuilt decision-support view</w:t>
            </w:r>
          </w:p>
        </w:tc>
      </w:tr>
      <w:tr>
        <w:trPr>
          <w:tblHeader w:val="false"/>
        </w:trPr>
        <w:tc>
          <w:tcPr>
            <w:tcW w:type="dxa" w:w="2808"/>
            <w:shd w:fill="FFFFFF" w:color="auto" w:val="clear"/>
            <w:tcMar>
              <w:top w:type="dxa" w:w="70"/>
              <w:left w:type="dxa" w:w="100"/>
              <w:bottom w:type="dxa" w:w="70"/>
              <w:right w:type="dxa" w:w="100"/>
            </w:tcMar>
          </w:tcPr>
          <w:p>
            <w:pPr>
              <w:spacing w:after="0" w:line="250"/>
            </w:pPr>
            <w:r>
              <w:rPr>
                <w:b/>
                <w:bCs/>
                <w:color w:val="1A1A1A"/>
                <w:sz w:val="17"/>
                <w:szCs w:val="17"/>
              </w:rPr>
              <w:t xml:space="preserve">Which other track did I work with?</w:t>
            </w:r>
          </w:p>
        </w:tc>
        <w:tc>
          <w:tcPr>
            <w:tcW w:type="dxa" w:w="6552"/>
            <w:shd w:fill="FFFFFF" w:color="auto" w:val="clear"/>
            <w:tcMar>
              <w:top w:type="dxa" w:w="70"/>
              <w:left w:type="dxa" w:w="100"/>
              <w:bottom w:type="dxa" w:w="70"/>
              <w:right w:type="dxa" w:w="100"/>
            </w:tcMar>
          </w:tcPr>
          <w:p>
            <w:pPr>
              <w:spacing w:after="0" w:line="250"/>
            </w:pPr>
            <w:r>
              <w:rPr>
                <w:b w:val="false"/>
                <w:bCs w:val="false"/>
                <w:color w:val="1A1A1A"/>
                <w:sz w:val="17"/>
                <w:szCs w:val="17"/>
              </w:rPr>
              <w:t xml:space="preserve">Data Science track</w:t>
            </w:r>
          </w:p>
        </w:tc>
      </w:tr>
      <w:tr>
        <w:trPr>
          <w:tblHeader w:val="false"/>
        </w:trPr>
        <w:tc>
          <w:tcPr>
            <w:tcW w:type="dxa" w:w="2808"/>
            <w:shd w:fill="F4F7FA" w:color="auto" w:val="clear"/>
            <w:tcMar>
              <w:top w:type="dxa" w:w="70"/>
              <w:left w:type="dxa" w:w="100"/>
              <w:bottom w:type="dxa" w:w="70"/>
              <w:right w:type="dxa" w:w="100"/>
            </w:tcMar>
          </w:tcPr>
          <w:p>
            <w:pPr>
              <w:spacing w:after="0" w:line="250"/>
            </w:pPr>
            <w:r>
              <w:rPr>
                <w:b/>
                <w:bCs/>
                <w:color w:val="1A1A1A"/>
                <w:sz w:val="17"/>
                <w:szCs w:val="17"/>
              </w:rPr>
              <w:t xml:space="preserve">What did I receive?</w:t>
            </w:r>
          </w:p>
        </w:tc>
        <w:tc>
          <w:tcPr>
            <w:tcW w:type="dxa" w:w="6552"/>
            <w:shd w:fill="F4F7FA" w:color="auto" w:val="clear"/>
            <w:tcMar>
              <w:top w:type="dxa" w:w="70"/>
              <w:left w:type="dxa" w:w="100"/>
              <w:bottom w:type="dxa" w:w="70"/>
              <w:right w:type="dxa" w:w="100"/>
            </w:tcMar>
          </w:tcPr>
          <w:p>
            <w:pPr>
              <w:spacing w:after="0" w:line="250"/>
            </w:pPr>
            <w:r>
              <w:rPr>
                <w:b w:val="false"/>
                <w:bCs w:val="false"/>
                <w:color w:val="1A1A1A"/>
                <w:sz w:val="17"/>
                <w:szCs w:val="17"/>
              </w:rPr>
              <w:t xml:space="preserve">The baseline model specification and four open questions on features, exclusions, target definition and split strategy</w:t>
            </w:r>
          </w:p>
        </w:tc>
      </w:tr>
      <w:tr>
        <w:trPr>
          <w:tblHeader w:val="false"/>
        </w:trPr>
        <w:tc>
          <w:tcPr>
            <w:tcW w:type="dxa" w:w="2808"/>
            <w:shd w:fill="FFFFFF" w:color="auto" w:val="clear"/>
            <w:tcMar>
              <w:top w:type="dxa" w:w="70"/>
              <w:left w:type="dxa" w:w="100"/>
              <w:bottom w:type="dxa" w:w="70"/>
              <w:right w:type="dxa" w:w="100"/>
            </w:tcMar>
          </w:tcPr>
          <w:p>
            <w:pPr>
              <w:spacing w:after="0" w:line="250"/>
            </w:pPr>
            <w:r>
              <w:rPr>
                <w:b/>
                <w:bCs/>
                <w:color w:val="1A1A1A"/>
                <w:sz w:val="17"/>
                <w:szCs w:val="17"/>
              </w:rPr>
              <w:t xml:space="preserve">What did I provide?</w:t>
            </w:r>
          </w:p>
        </w:tc>
        <w:tc>
          <w:tcPr>
            <w:tcW w:type="dxa" w:w="6552"/>
            <w:shd w:fill="FFFFFF" w:color="auto" w:val="clear"/>
            <w:tcMar>
              <w:top w:type="dxa" w:w="70"/>
              <w:left w:type="dxa" w:w="100"/>
              <w:bottom w:type="dxa" w:w="70"/>
              <w:right w:type="dxa" w:w="100"/>
            </w:tcMar>
          </w:tcPr>
          <w:p>
            <w:pPr>
              <w:spacing w:after="0" w:line="250"/>
            </w:pPr>
            <w:r>
              <w:rPr>
                <w:b w:val="false"/>
                <w:bCs w:val="false"/>
                <w:color w:val="1A1A1A"/>
                <w:sz w:val="17"/>
                <w:szCs w:val="17"/>
              </w:rPr>
              <w:t xml:space="preserve">A five-part evidence pack: feature specification, validated findings register, patient-grouping warning, target-definition recommendation and a labelled benchmark cohort</w:t>
            </w:r>
          </w:p>
        </w:tc>
      </w:tr>
      <w:tr>
        <w:trPr>
          <w:tblHeader w:val="false"/>
        </w:trPr>
        <w:tc>
          <w:tcPr>
            <w:tcW w:type="dxa" w:w="2808"/>
            <w:shd w:fill="F4F7FA" w:color="auto" w:val="clear"/>
            <w:tcMar>
              <w:top w:type="dxa" w:w="70"/>
              <w:left w:type="dxa" w:w="100"/>
              <w:bottom w:type="dxa" w:w="70"/>
              <w:right w:type="dxa" w:w="100"/>
            </w:tcMar>
          </w:tcPr>
          <w:p>
            <w:pPr>
              <w:spacing w:after="0" w:line="250"/>
            </w:pPr>
            <w:r>
              <w:rPr>
                <w:b/>
                <w:bCs/>
                <w:color w:val="1A1A1A"/>
                <w:sz w:val="17"/>
                <w:szCs w:val="17"/>
              </w:rPr>
              <w:t xml:space="preserve">What changed because of the integration?</w:t>
            </w:r>
          </w:p>
        </w:tc>
        <w:tc>
          <w:tcPr>
            <w:tcW w:type="dxa" w:w="6552"/>
            <w:shd w:fill="F4F7FA" w:color="auto" w:val="clear"/>
            <w:tcMar>
              <w:top w:type="dxa" w:w="70"/>
              <w:left w:type="dxa" w:w="100"/>
              <w:bottom w:type="dxa" w:w="70"/>
              <w:right w:type="dxa" w:w="100"/>
            </w:tcMar>
          </w:tcPr>
          <w:p>
            <w:pPr>
              <w:spacing w:after="0" w:line="250"/>
            </w:pPr>
            <w:r>
              <w:rPr>
                <w:b w:val="false"/>
                <w:bCs w:val="false"/>
                <w:color w:val="1A1A1A"/>
                <w:sz w:val="17"/>
                <w:szCs w:val="17"/>
              </w:rPr>
              <w:t xml:space="preserve">Five changes in the Data Science track's approach and three in this track's own outputs — Section 3</w:t>
            </w:r>
          </w:p>
        </w:tc>
      </w:tr>
      <w:tr>
        <w:trPr>
          <w:tblHeader w:val="false"/>
        </w:trPr>
        <w:tc>
          <w:tcPr>
            <w:tcW w:type="dxa" w:w="2808"/>
            <w:shd w:fill="FFFFFF" w:color="auto" w:val="clear"/>
            <w:tcMar>
              <w:top w:type="dxa" w:w="70"/>
              <w:left w:type="dxa" w:w="100"/>
              <w:bottom w:type="dxa" w:w="70"/>
              <w:right w:type="dxa" w:w="100"/>
            </w:tcMar>
          </w:tcPr>
          <w:p>
            <w:pPr>
              <w:spacing w:after="0" w:line="250"/>
            </w:pPr>
            <w:r>
              <w:rPr>
                <w:b/>
                <w:bCs/>
                <w:color w:val="1A1A1A"/>
                <w:sz w:val="17"/>
                <w:szCs w:val="17"/>
              </w:rPr>
              <w:t xml:space="preserve">How does this improve HealthConnect?</w:t>
            </w:r>
          </w:p>
        </w:tc>
        <w:tc>
          <w:tcPr>
            <w:tcW w:type="dxa" w:w="6552"/>
            <w:shd w:fill="FFFFFF" w:color="auto" w:val="clear"/>
            <w:tcMar>
              <w:top w:type="dxa" w:w="70"/>
              <w:left w:type="dxa" w:w="100"/>
              <w:bottom w:type="dxa" w:w="70"/>
              <w:right w:type="dxa" w:w="100"/>
            </w:tcMar>
          </w:tcPr>
          <w:p>
            <w:pPr>
              <w:spacing w:after="0" w:line="250"/>
            </w:pPr>
            <w:r>
              <w:rPr>
                <w:b w:val="false"/>
                <w:bCs w:val="false"/>
                <w:color w:val="1A1A1A"/>
                <w:sz w:val="17"/>
                <w:szCs w:val="17"/>
              </w:rPr>
              <w:t xml:space="preserve">The modelling track's feature and validation decisions now rest on tested evidence rather than raw percentage differences; a leaking validation split was caught before Week 7; a corrupted feature was caught before it entered the model; and the clinic gained a triage rule usable without any modelling infrastructure</w:t>
            </w:r>
          </w:p>
        </w:tc>
      </w:tr>
    </w:tbl>
    <w:p>
      <w:pPr>
        <w:pBdr>
          <w:left w:val="single" w:color="1F3A5F" w:sz="18" w:space="8"/>
        </w:pBdr>
        <w:shd w:fill="EEF5FF" w:color="auto" w:val="clear"/>
        <w:spacing w:after="140" w:before="140"/>
      </w:pPr>
      <w:r>
        <w:rPr>
          <w:b/>
          <w:bCs/>
          <w:sz w:val="19"/>
          <w:szCs w:val="19"/>
        </w:rPr>
        <w:t xml:space="preserve">On the evidence standard: </w:t>
      </w:r>
      <w:r>
        <w:rPr>
          <w:sz w:val="19"/>
          <w:szCs w:val="19"/>
        </w:rPr>
        <w:t xml:space="preserve">the Week 6 brief states that communication alone is not integration. The test applied here is whether the exchange produced a change that would not otherwise have happened. Two are load-bearing: the patient-grouped split, which prevents an inflated Week 7 result, and the exclusion of waiting_time_minutes, which prevents a field of unknown meaning entering the model. Both originated in this track's Week 6 analysis and neither was visible in Week 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Page </w:t>
    </w:r>
    <w:r>
      <w:rPr>
        <w:color w:val="52514E"/>
        <w:sz w:val="16"/>
        <w:szCs w:val="16"/>
      </w:rPr>
      <w:fldChar w:fldCharType="begin"/>
      <w:instrText xml:space="preserve">PAGE</w:instrText>
      <w:fldChar w:fldCharType="separate"/>
      <w:fldChar w:fldCharType="end"/>
    </w:r>
    <w:r>
      <w:rPr>
        <w:color w:val="52514E"/>
        <w:sz w:val="16"/>
        <w:szCs w:val="16"/>
      </w:rPr>
      <w:t xml:space="preserve"> of </w:t>
    </w:r>
    <w:r>
      <w:rPr>
        <w:color w:val="5251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pPr>
    <w:r>
      <w:rPr>
        <w:color w:val="52514E"/>
        <w:sz w:val="16"/>
        <w:szCs w:val="16"/>
      </w:rPr>
      <w:t xml:space="preserve">AnalystLab Africa  ·  HealthConnect  ·  Week 6 Cross-Track Integration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3A5F"/>
      <w:sz w:val="30"/>
      <w:szCs w:val="30"/>
    </w:rPr>
  </w:style>
  <w:style w:type="paragraph" w:styleId="Heading2">
    <w:name w:val="Heading 2"/>
    <w:basedOn w:val="Normal"/>
    <w:next w:val="Normal"/>
    <w:qFormat/>
    <w:pPr>
      <w:spacing w:after="100" w:before="240"/>
    </w:pPr>
    <w:rPr>
      <w:rFonts w:ascii="Calibri" w:cs="Calibri" w:eastAsia="Calibri" w:hAnsi="Calibri"/>
      <w:b/>
      <w:bCs/>
      <w:color w:val="1F3A5F"/>
      <w:sz w:val="24"/>
      <w:szCs w:val="24"/>
    </w:rPr>
  </w:style>
  <w:style w:type="paragraph" w:styleId="Heading3">
    <w:name w:val="Heading 3"/>
    <w:basedOn w:val="Normal"/>
    <w:next w:val="Normal"/>
    <w:qFormat/>
    <w:pPr>
      <w:spacing w:after="80" w:before="180"/>
    </w:pPr>
    <w:rPr>
      <w:rFonts w:ascii="Calibri" w:cs="Calibri" w:eastAsia="Calibri" w:hAnsi="Calibri"/>
      <w:b/>
      <w:bCs/>
      <w:color w:val="2F2F2F"/>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2026-09-12T22:05:12.102Z</dcterms:created>
  <dcterms:modified xsi:type="dcterms:W3CDTF">2026-09-12T22:05:12.102Z</dcterms:modified>
</cp:coreProperties>
</file>

<file path=docProps/custom.xml><?xml version="1.0" encoding="utf-8"?>
<Properties xmlns="http://schemas.openxmlformats.org/officeDocument/2006/custom-properties" xmlns:vt="http://schemas.openxmlformats.org/officeDocument/2006/docPropsVTypes"/>
</file>