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44536"/>
          <w:sz w:val="18"/>
          <w:szCs w:val="18"/>
        </w:rPr>
        <w:t xml:space="preserve">HEALTHCONNECT CLINIC EXPERIENCE LAB</w:t>
      </w:r>
    </w:p>
    <w:p>
      <w:pPr>
        <w:spacing w:after="60"/>
      </w:pPr>
      <w:r>
        <w:rPr>
          <w:b/>
          <w:bCs/>
          <w:color w:val="1F3A5F"/>
          <w:sz w:val="40"/>
          <w:szCs w:val="40"/>
        </w:rPr>
        <w:t xml:space="preserve">Week 6 Project Summary</w:t>
      </w:r>
    </w:p>
    <w:p>
      <w:pPr>
        <w:spacing w:after="200"/>
      </w:pPr>
      <w:r>
        <w:rPr>
          <w:color w:val="52514E"/>
          <w:sz w:val="22"/>
          <w:szCs w:val="22"/>
        </w:rPr>
        <w:t xml:space="preserve">Data Analytics Track  —  Advanced Analytics, Validation &amp; Decision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24"/>
        <w:gridCol w:w="4273"/>
        <w:gridCol w:w="1221"/>
        <w:gridCol w:w="2442"/>
      </w:tblGrid>
      <w:tr>
        <w:trPr>
          <w:tblHeader/>
        </w:trPr>
        <w:tc>
          <w:tcPr>
            <w:tcW w:type="dxa" w:w="1424"/>
            <w:shd w:fill="1F3A5F" w:color="auto" w:val="clear"/>
            <w:tcMar>
              <w:top w:type="dxa" w:w="70"/>
              <w:left w:type="dxa" w:w="100"/>
              <w:bottom w:type="dxa" w:w="70"/>
              <w:right w:type="dxa" w:w="100"/>
            </w:tcMar>
          </w:tcPr>
          <w:p>
            <w:pPr>
              <w:spacing w:after="0" w:line="250"/>
            </w:pPr>
            <w:r>
              <w:rPr>
                <w:b/>
                <w:bCs/>
                <w:color w:val="FFFFFF"/>
                <w:sz w:val="18"/>
                <w:szCs w:val="18"/>
              </w:rPr>
              <w:t xml:space="preserve">Programme</w:t>
            </w:r>
          </w:p>
        </w:tc>
        <w:tc>
          <w:tcPr>
            <w:tcW w:type="dxa" w:w="4273"/>
            <w:shd w:fill="1F3A5F" w:color="auto" w:val="clear"/>
            <w:tcMar>
              <w:top w:type="dxa" w:w="70"/>
              <w:left w:type="dxa" w:w="100"/>
              <w:bottom w:type="dxa" w:w="70"/>
              <w:right w:type="dxa" w:w="100"/>
            </w:tcMar>
          </w:tcPr>
          <w:p>
            <w:pPr>
              <w:spacing w:after="0" w:line="250"/>
            </w:pPr>
            <w:r>
              <w:rPr>
                <w:b/>
                <w:bCs/>
                <w:color w:val="FFFFFF"/>
                <w:sz w:val="18"/>
                <w:szCs w:val="18"/>
              </w:rPr>
              <w:t xml:space="preserve">AnalystLab Africa Experience Lab</w:t>
            </w:r>
          </w:p>
        </w:tc>
        <w:tc>
          <w:tcPr>
            <w:tcW w:type="dxa" w:w="1221"/>
            <w:shd w:fill="1F3A5F" w:color="auto" w:val="clear"/>
            <w:tcMar>
              <w:top w:type="dxa" w:w="70"/>
              <w:left w:type="dxa" w:w="100"/>
              <w:bottom w:type="dxa" w:w="70"/>
              <w:right w:type="dxa" w:w="100"/>
            </w:tcMar>
          </w:tcPr>
          <w:p>
            <w:pPr>
              <w:spacing w:after="0" w:line="250"/>
            </w:pPr>
            <w:r>
              <w:rPr>
                <w:b/>
                <w:bCs/>
                <w:color w:val="FFFFFF"/>
                <w:sz w:val="18"/>
                <w:szCs w:val="18"/>
              </w:rPr>
              <w:t xml:space="preserve">Track</w:t>
            </w:r>
          </w:p>
        </w:tc>
        <w:tc>
          <w:tcPr>
            <w:tcW w:type="dxa" w:w="2442"/>
            <w:shd w:fill="1F3A5F" w:color="auto" w:val="clear"/>
            <w:tcMar>
              <w:top w:type="dxa" w:w="70"/>
              <w:left w:type="dxa" w:w="100"/>
              <w:bottom w:type="dxa" w:w="70"/>
              <w:right w:type="dxa" w:w="100"/>
            </w:tcMar>
          </w:tcPr>
          <w:p>
            <w:pPr>
              <w:spacing w:after="0" w:line="250"/>
            </w:pPr>
            <w:r>
              <w:rPr>
                <w:b/>
                <w:bCs/>
                <w:color w:val="FFFFFF"/>
                <w:sz w:val="18"/>
                <w:szCs w:val="18"/>
              </w:rPr>
              <w:t xml:space="preserve">Data Analytics</w:t>
            </w:r>
          </w:p>
        </w:tc>
      </w:tr>
      <w:tr>
        <w:trPr>
          <w:tblHeader w:val="false"/>
        </w:trPr>
        <w:tc>
          <w:tcPr>
            <w:tcW w:type="dxa" w:w="1424"/>
            <w:shd w:fill="FFFFFF" w:color="auto" w:val="clear"/>
            <w:tcMar>
              <w:top w:type="dxa" w:w="70"/>
              <w:left w:type="dxa" w:w="100"/>
              <w:bottom w:type="dxa" w:w="70"/>
              <w:right w:type="dxa" w:w="100"/>
            </w:tcMar>
          </w:tcPr>
          <w:p>
            <w:pPr>
              <w:spacing w:after="0" w:line="250"/>
            </w:pPr>
            <w:r>
              <w:rPr>
                <w:b w:val="false"/>
                <w:bCs w:val="false"/>
                <w:color w:val="1A1A1A"/>
                <w:sz w:val="18"/>
                <w:szCs w:val="18"/>
              </w:rPr>
              <w:t xml:space="preserve">Project</w:t>
            </w:r>
          </w:p>
        </w:tc>
        <w:tc>
          <w:tcPr>
            <w:tcW w:type="dxa" w:w="4273"/>
            <w:shd w:fill="FFFFFF" w:color="auto" w:val="clear"/>
            <w:tcMar>
              <w:top w:type="dxa" w:w="70"/>
              <w:left w:type="dxa" w:w="100"/>
              <w:bottom w:type="dxa" w:w="70"/>
              <w:right w:type="dxa" w:w="100"/>
            </w:tcMar>
          </w:tcPr>
          <w:p>
            <w:pPr>
              <w:spacing w:after="0" w:line="250"/>
            </w:pPr>
            <w:r>
              <w:rPr>
                <w:b w:val="false"/>
                <w:bCs w:val="false"/>
                <w:color w:val="1A1A1A"/>
                <w:sz w:val="18"/>
                <w:szCs w:val="18"/>
              </w:rPr>
              <w:t xml:space="preserve">HealthConnect Clinic Experience Lab</w:t>
            </w:r>
          </w:p>
        </w:tc>
        <w:tc>
          <w:tcPr>
            <w:tcW w:type="dxa" w:w="1221"/>
            <w:shd w:fill="FFFFFF" w:color="auto" w:val="clear"/>
            <w:tcMar>
              <w:top w:type="dxa" w:w="70"/>
              <w:left w:type="dxa" w:w="100"/>
              <w:bottom w:type="dxa" w:w="70"/>
              <w:right w:type="dxa" w:w="100"/>
            </w:tcMar>
          </w:tcPr>
          <w:p>
            <w:pPr>
              <w:spacing w:after="0" w:line="250"/>
            </w:pPr>
            <w:r>
              <w:rPr>
                <w:b w:val="false"/>
                <w:bCs w:val="false"/>
                <w:color w:val="1A1A1A"/>
                <w:sz w:val="18"/>
                <w:szCs w:val="18"/>
              </w:rPr>
              <w:t xml:space="preserve">Week</w:t>
            </w:r>
          </w:p>
        </w:tc>
        <w:tc>
          <w:tcPr>
            <w:tcW w:type="dxa" w:w="2442"/>
            <w:shd w:fill="FFFFFF" w:color="auto" w:val="clear"/>
            <w:tcMar>
              <w:top w:type="dxa" w:w="70"/>
              <w:left w:type="dxa" w:w="100"/>
              <w:bottom w:type="dxa" w:w="70"/>
              <w:right w:type="dxa" w:w="100"/>
            </w:tcMar>
          </w:tcPr>
          <w:p>
            <w:pPr>
              <w:spacing w:after="0" w:line="250"/>
            </w:pPr>
            <w:r>
              <w:rPr>
                <w:b w:val="false"/>
                <w:bCs w:val="false"/>
                <w:color w:val="1A1A1A"/>
                <w:sz w:val="18"/>
                <w:szCs w:val="18"/>
              </w:rPr>
              <w:t xml:space="preserve">Week 6</w:t>
            </w:r>
          </w:p>
        </w:tc>
      </w:tr>
      <w:tr>
        <w:trPr>
          <w:tblHeader w:val="false"/>
        </w:trPr>
        <w:tc>
          <w:tcPr>
            <w:tcW w:type="dxa" w:w="1424"/>
            <w:shd w:fill="F4F7FA" w:color="auto" w:val="clear"/>
            <w:tcMar>
              <w:top w:type="dxa" w:w="70"/>
              <w:left w:type="dxa" w:w="100"/>
              <w:bottom w:type="dxa" w:w="70"/>
              <w:right w:type="dxa" w:w="100"/>
            </w:tcMar>
          </w:tcPr>
          <w:p>
            <w:pPr>
              <w:spacing w:after="0" w:line="250"/>
            </w:pPr>
            <w:r>
              <w:rPr>
                <w:b w:val="false"/>
                <w:bCs w:val="false"/>
                <w:color w:val="1A1A1A"/>
                <w:sz w:val="18"/>
                <w:szCs w:val="18"/>
              </w:rPr>
              <w:t xml:space="preserve">Project title</w:t>
            </w:r>
          </w:p>
        </w:tc>
        <w:tc>
          <w:tcPr>
            <w:tcW w:type="dxa" w:w="4273"/>
            <w:shd w:fill="F4F7FA" w:color="auto" w:val="clear"/>
            <w:tcMar>
              <w:top w:type="dxa" w:w="70"/>
              <w:left w:type="dxa" w:w="100"/>
              <w:bottom w:type="dxa" w:w="70"/>
              <w:right w:type="dxa" w:w="100"/>
            </w:tcMar>
          </w:tcPr>
          <w:p>
            <w:pPr>
              <w:spacing w:after="0" w:line="250"/>
            </w:pPr>
            <w:r>
              <w:rPr>
                <w:b w:val="false"/>
                <w:bCs w:val="false"/>
                <w:color w:val="1A1A1A"/>
                <w:sz w:val="18"/>
                <w:szCs w:val="18"/>
              </w:rPr>
              <w:t xml:space="preserve">Improving Patient Appointment Attendance and Healthcare Support Using Data and AI</w:t>
            </w:r>
          </w:p>
        </w:tc>
        <w:tc>
          <w:tcPr>
            <w:tcW w:type="dxa" w:w="1221"/>
            <w:shd w:fill="F4F7FA" w:color="auto" w:val="clear"/>
            <w:tcMar>
              <w:top w:type="dxa" w:w="70"/>
              <w:left w:type="dxa" w:w="100"/>
              <w:bottom w:type="dxa" w:w="70"/>
              <w:right w:type="dxa" w:w="100"/>
            </w:tcMar>
          </w:tcPr>
          <w:p>
            <w:pPr>
              <w:spacing w:after="0" w:line="250"/>
            </w:pPr>
            <w:r>
              <w:rPr>
                <w:b w:val="false"/>
                <w:bCs w:val="false"/>
                <w:color w:val="1A1A1A"/>
                <w:sz w:val="18"/>
                <w:szCs w:val="18"/>
              </w:rPr>
              <w:t xml:space="preserve">Version</w:t>
            </w:r>
          </w:p>
        </w:tc>
        <w:tc>
          <w:tcPr>
            <w:tcW w:type="dxa" w:w="2442"/>
            <w:shd w:fill="F4F7FA" w:color="auto" w:val="clear"/>
            <w:tcMar>
              <w:top w:type="dxa" w:w="70"/>
              <w:left w:type="dxa" w:w="100"/>
              <w:bottom w:type="dxa" w:w="70"/>
              <w:right w:type="dxa" w:w="100"/>
            </w:tcMar>
          </w:tcPr>
          <w:p>
            <w:pPr>
              <w:spacing w:after="0" w:line="250"/>
            </w:pPr>
            <w:r>
              <w:rPr>
                <w:b w:val="false"/>
                <w:bCs w:val="false"/>
                <w:color w:val="1A1A1A"/>
                <w:sz w:val="18"/>
                <w:szCs w:val="18"/>
              </w:rPr>
              <w:t xml:space="preserve">1.0</w:t>
            </w:r>
          </w:p>
        </w:tc>
      </w:tr>
      <w:tr>
        <w:trPr>
          <w:tblHeader w:val="false"/>
        </w:trPr>
        <w:tc>
          <w:tcPr>
            <w:tcW w:type="dxa" w:w="1424"/>
            <w:shd w:fill="FFFFFF" w:color="auto" w:val="clear"/>
            <w:tcMar>
              <w:top w:type="dxa" w:w="70"/>
              <w:left w:type="dxa" w:w="100"/>
              <w:bottom w:type="dxa" w:w="70"/>
              <w:right w:type="dxa" w:w="100"/>
            </w:tcMar>
          </w:tcPr>
          <w:p>
            <w:pPr>
              <w:spacing w:after="0" w:line="250"/>
            </w:pPr>
            <w:r>
              <w:rPr>
                <w:b w:val="false"/>
                <w:bCs w:val="false"/>
                <w:color w:val="1A1A1A"/>
                <w:sz w:val="18"/>
                <w:szCs w:val="18"/>
              </w:rPr>
              <w:t xml:space="preserve">Main deliverable</w:t>
            </w:r>
          </w:p>
        </w:tc>
        <w:tc>
          <w:tcPr>
            <w:tcW w:type="dxa" w:w="4273"/>
            <w:shd w:fill="FFFFFF" w:color="auto" w:val="clear"/>
            <w:tcMar>
              <w:top w:type="dxa" w:w="70"/>
              <w:left w:type="dxa" w:w="100"/>
              <w:bottom w:type="dxa" w:w="70"/>
              <w:right w:type="dxa" w:w="100"/>
            </w:tcMar>
          </w:tcPr>
          <w:p>
            <w:pPr>
              <w:spacing w:after="0" w:line="250"/>
            </w:pPr>
            <w:r>
              <w:rPr>
                <w:b w:val="false"/>
                <w:bCs w:val="false"/>
                <w:color w:val="1A1A1A"/>
                <w:sz w:val="18"/>
                <w:szCs w:val="18"/>
              </w:rPr>
              <w:t xml:space="preserve">HealthConnect_Week6_Advanced_Analytics.ipynb</w:t>
            </w:r>
          </w:p>
        </w:tc>
        <w:tc>
          <w:tcPr>
            <w:tcW w:type="dxa" w:w="1221"/>
            <w:shd w:fill="FFFFFF" w:color="auto" w:val="clear"/>
            <w:tcMar>
              <w:top w:type="dxa" w:w="70"/>
              <w:left w:type="dxa" w:w="100"/>
              <w:bottom w:type="dxa" w:w="70"/>
              <w:right w:type="dxa" w:w="100"/>
            </w:tcMar>
          </w:tcPr>
          <w:p>
            <w:pPr>
              <w:spacing w:after="0" w:line="250"/>
            </w:pPr>
            <w:r>
              <w:rPr>
                <w:b w:val="false"/>
                <w:bCs w:val="false"/>
                <w:color w:val="1A1A1A"/>
                <w:sz w:val="18"/>
                <w:szCs w:val="18"/>
              </w:rPr>
              <w:t xml:space="preserve">Integration</w:t>
            </w:r>
          </w:p>
        </w:tc>
        <w:tc>
          <w:tcPr>
            <w:tcW w:type="dxa" w:w="2442"/>
            <w:shd w:fill="FFFFFF" w:color="auto" w:val="clear"/>
            <w:tcMar>
              <w:top w:type="dxa" w:w="70"/>
              <w:left w:type="dxa" w:w="100"/>
              <w:bottom w:type="dxa" w:w="70"/>
              <w:right w:type="dxa" w:w="100"/>
            </w:tcMar>
          </w:tcPr>
          <w:p>
            <w:pPr>
              <w:spacing w:after="0" w:line="250"/>
            </w:pPr>
            <w:r>
              <w:rPr>
                <w:b w:val="false"/>
                <w:bCs w:val="false"/>
                <w:color w:val="1A1A1A"/>
                <w:sz w:val="18"/>
                <w:szCs w:val="18"/>
              </w:rPr>
              <w:t xml:space="preserve">Data Science track</w:t>
            </w:r>
          </w:p>
        </w:tc>
      </w:tr>
    </w:tbl>
    <w:p>
      <w:pPr>
        <w:spacing w:after="240"/>
      </w:pPr>
    </w:p>
    <w:p>
      <w:r>
        <w:rPr>
          <w:i/>
          <w:iCs/>
          <w:color w:val="52514E"/>
          <w:sz w:val="19"/>
          <w:szCs w:val="19"/>
        </w:rPr>
        <w:t xml:space="preserve">This summary complements the Week 6 Advanced Analytics notebook and the cross-track integration evidence pack. It does not repeat their content.</w:t>
      </w:r>
    </w:p>
    <w:p>
      <w:pPr>
        <w:pBdr>
          <w:bottom w:val="single" w:color="C9D2DC" w:sz="6" w:space="6"/>
        </w:pBdr>
        <w:spacing w:after="160"/>
      </w:pPr>
    </w:p>
    <w:p>
      <w:pPr>
        <w:pStyle w:val="Heading1"/>
      </w:pPr>
      <w:r>
        <w:t xml:space="preserve">1. What I planned to accomplish</w:t>
      </w:r>
    </w:p>
    <w:p>
      <w:r>
        <w:t xml:space="preserve">Week 5 produced a cleaned dataset, four KPIs, nine exploratory charts and six business insights, but reported every finding as a raw percentage difference with no significance testing, no confidence intervals and no group-size weighting. Week 5 also identified a dependency on the Data Science track without acting on it.</w:t>
      </w:r>
    </w:p>
    <w:p>
      <w:r>
        <w:t xml:space="preserve">The Week 6 plan was therefore to:</w:t>
      </w:r>
    </w:p>
    <w:p>
      <w:pPr>
        <w:pStyle w:val="ListParagraph"/>
        <w:numPr>
          <w:ilvl w:val="0"/>
          <w:numId w:val="2"/>
        </w:numPr>
        <w:spacing w:after="60"/>
      </w:pPr>
      <w:r>
        <w:t xml:space="preserve">Test every Week 5 finding for statistical significance and effect size, rather than restating it.</w:t>
      </w:r>
    </w:p>
    <w:p>
      <w:pPr>
        <w:pStyle w:val="ListParagraph"/>
        <w:numPr>
          <w:ilvl w:val="0"/>
          <w:numId w:val="2"/>
        </w:numPr>
        <w:spacing w:after="60"/>
      </w:pPr>
      <w:r>
        <w:t xml:space="preserve">Move from one-variable-at-a-time analysis to adjusted, multivariate analysis.</w:t>
      </w:r>
    </w:p>
    <w:p>
      <w:pPr>
        <w:pStyle w:val="ListParagraph"/>
        <w:numPr>
          <w:ilvl w:val="0"/>
          <w:numId w:val="2"/>
        </w:numPr>
        <w:spacing w:after="60"/>
      </w:pPr>
      <w:r>
        <w:t xml:space="preserve">Validate the four Week 5 KPIs and extend them into a decision-relevant set.</w:t>
      </w:r>
    </w:p>
    <w:p>
      <w:pPr>
        <w:pStyle w:val="ListParagraph"/>
        <w:numPr>
          <w:ilvl w:val="0"/>
          <w:numId w:val="2"/>
        </w:numPr>
        <w:spacing w:after="60"/>
      </w:pPr>
      <w:r>
        <w:t xml:space="preserve">Convert the validated findings into a usable output for the Data Science track and complete the integration.</w:t>
      </w:r>
    </w:p>
    <w:p>
      <w:pPr>
        <w:pStyle w:val="ListParagraph"/>
        <w:numPr>
          <w:ilvl w:val="0"/>
          <w:numId w:val="2"/>
        </w:numPr>
        <w:spacing w:after="60"/>
      </w:pPr>
      <w:r>
        <w:t xml:space="preserve">Rebuild the visualisation as a decision-support view rather than an exploratory gallery.</w:t>
      </w:r>
    </w:p>
    <w:p>
      <w:pPr>
        <w:pStyle w:val="Heading1"/>
      </w:pPr>
      <w:r>
        <w:t xml:space="preserve">2. What I completed</w:t>
      </w:r>
    </w:p>
    <w:p>
      <w:pPr>
        <w:pStyle w:val="ListParagraph"/>
        <w:numPr>
          <w:ilvl w:val="0"/>
          <w:numId w:val="2"/>
        </w:numPr>
        <w:spacing w:after="60"/>
      </w:pPr>
      <w:r>
        <w:t xml:space="preserve">Eleven relationships tested using chi-square with Cramér's V effect sizes, and Wilson 95% confidence intervals calculated for every reported group rate.</w:t>
      </w:r>
    </w:p>
    <w:p>
      <w:pPr>
        <w:pStyle w:val="ListParagraph"/>
        <w:numPr>
          <w:ilvl w:val="0"/>
          <w:numId w:val="2"/>
        </w:numPr>
        <w:spacing w:after="60"/>
      </w:pPr>
      <w:r>
        <w:t xml:space="preserve">A multivariate logistic regression fitted as an analytical instrument to estimate each variable's association while holding the others constant.</w:t>
      </w:r>
    </w:p>
    <w:p>
      <w:pPr>
        <w:pStyle w:val="ListParagraph"/>
        <w:numPr>
          <w:ilvl w:val="0"/>
          <w:numId w:val="2"/>
        </w:numPr>
        <w:spacing w:after="60"/>
      </w:pPr>
      <w:r>
        <w:t xml:space="preserve">Five new data-integrity checks, two of which produced significant new findings.</w:t>
      </w:r>
    </w:p>
    <w:p>
      <w:pPr>
        <w:pStyle w:val="ListParagraph"/>
        <w:numPr>
          <w:ilvl w:val="0"/>
          <w:numId w:val="2"/>
        </w:numPr>
        <w:spacing w:after="60"/>
      </w:pPr>
      <w:r>
        <w:t xml:space="preserve">Segment and interaction analysis across booking lead time, previous no-show history and reminder status.</w:t>
      </w:r>
    </w:p>
    <w:p>
      <w:pPr>
        <w:pStyle w:val="ListParagraph"/>
        <w:numPr>
          <w:ilvl w:val="0"/>
          <w:numId w:val="2"/>
        </w:numPr>
        <w:spacing w:after="60"/>
      </w:pPr>
      <w:r>
        <w:t xml:space="preserve">Four Week 5 KPIs validated and four new decision-relevant KPIs defined.</w:t>
      </w:r>
    </w:p>
    <w:p>
      <w:pPr>
        <w:pStyle w:val="ListParagraph"/>
        <w:numPr>
          <w:ilvl w:val="0"/>
          <w:numId w:val="2"/>
        </w:numPr>
        <w:spacing w:after="60"/>
      </w:pPr>
      <w:r>
        <w:t xml:space="preserve">A four-rule risk tier built from the validated drivers and applied to all 5,000 appointments.</w:t>
      </w:r>
    </w:p>
    <w:p>
      <w:pPr>
        <w:pStyle w:val="ListParagraph"/>
        <w:numPr>
          <w:ilvl w:val="0"/>
          <w:numId w:val="2"/>
        </w:numPr>
        <w:spacing w:after="60"/>
      </w:pPr>
      <w:r>
        <w:t xml:space="preserve">A five-part evidence pack produced and transferred to the Data Science track.</w:t>
      </w:r>
    </w:p>
    <w:p>
      <w:pPr>
        <w:pStyle w:val="ListParagraph"/>
        <w:numPr>
          <w:ilvl w:val="0"/>
          <w:numId w:val="2"/>
        </w:numPr>
        <w:spacing w:after="60"/>
      </w:pPr>
      <w:r>
        <w:t xml:space="preserve">A single six-panel decision-support view replacing the nine Week 5 exploratory charts.</w:t>
      </w:r>
    </w:p>
    <w:p>
      <w:pPr>
        <w:pStyle w:val="ListParagraph"/>
        <w:numPr>
          <w:ilvl w:val="0"/>
          <w:numId w:val="2"/>
        </w:numPr>
        <w:spacing w:after="60"/>
      </w:pPr>
      <w:r>
        <w:t xml:space="preserve">Recommendations rewritten with evidence, target group size, expected scale and explicit non-claims; a Week 7 analytical testing plan defined.</w:t>
      </w:r>
    </w:p>
    <w:p>
      <w:pPr>
        <w:pStyle w:val="Heading1"/>
      </w:pPr>
      <w:r>
        <w:t xml:space="preserve">3. What I improved from Week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A5F" w:color="auto" w:val="clear"/>
            <w:tcMar>
              <w:top w:type="dxa" w:w="70"/>
              <w:left w:type="dxa" w:w="100"/>
              <w:bottom w:type="dxa" w:w="70"/>
              <w:right w:type="dxa" w:w="100"/>
            </w:tcMar>
          </w:tcPr>
          <w:p>
            <w:pPr>
              <w:spacing w:after="0" w:line="250"/>
            </w:pPr>
            <w:r>
              <w:rPr>
                <w:b/>
                <w:bCs/>
                <w:color w:val="FFFFFF"/>
                <w:sz w:val="18"/>
                <w:szCs w:val="18"/>
              </w:rPr>
              <w:t xml:space="preserve">Week 5 position</w:t>
            </w:r>
          </w:p>
        </w:tc>
        <w:tc>
          <w:tcPr>
            <w:tcW w:type="dxa" w:w="6552"/>
            <w:shd w:fill="1F3A5F" w:color="auto" w:val="clear"/>
            <w:tcMar>
              <w:top w:type="dxa" w:w="70"/>
              <w:left w:type="dxa" w:w="100"/>
              <w:bottom w:type="dxa" w:w="70"/>
              <w:right w:type="dxa" w:w="100"/>
            </w:tcMar>
          </w:tcPr>
          <w:p>
            <w:pPr>
              <w:spacing w:after="0" w:line="250"/>
            </w:pPr>
            <w:r>
              <w:rPr>
                <w:b/>
                <w:bCs/>
                <w:color w:val="FFFFFF"/>
                <w:sz w:val="18"/>
                <w:szCs w:val="18"/>
              </w:rPr>
              <w:t xml:space="preserve">Week 6 position</w:t>
            </w:r>
          </w:p>
        </w:tc>
      </w:tr>
      <w:tr>
        <w:trPr>
          <w:tblHeader w:val="false"/>
        </w:trPr>
        <w:tc>
          <w:tcPr>
            <w:tcW w:type="dxa" w:w="2808"/>
            <w:shd w:fill="FFFFFF" w:color="auto" w:val="clear"/>
            <w:tcMar>
              <w:top w:type="dxa" w:w="70"/>
              <w:left w:type="dxa" w:w="100"/>
              <w:bottom w:type="dxa" w:w="70"/>
              <w:right w:type="dxa" w:w="100"/>
            </w:tcMar>
          </w:tcPr>
          <w:p>
            <w:pPr>
              <w:spacing w:after="0" w:line="250"/>
            </w:pPr>
            <w:r>
              <w:rPr>
                <w:color w:val="1A1A1A"/>
                <w:sz w:val="18"/>
                <w:szCs w:val="18"/>
              </w:rPr>
              <w:t xml:space="preserve">Six insights presented with comparable weight</w:t>
            </w:r>
          </w:p>
        </w:tc>
        <w:tc>
          <w:tcPr>
            <w:tcW w:type="dxa" w:w="6552"/>
            <w:shd w:fill="FFFFFF" w:color="auto" w:val="clear"/>
            <w:tcMar>
              <w:top w:type="dxa" w:w="70"/>
              <w:left w:type="dxa" w:w="100"/>
              <w:bottom w:type="dxa" w:w="70"/>
              <w:right w:type="dxa" w:w="100"/>
            </w:tcMar>
          </w:tcPr>
          <w:p>
            <w:pPr>
              <w:spacing w:after="0" w:line="250"/>
            </w:pPr>
            <w:r>
              <w:rPr>
                <w:color w:val="1A1A1A"/>
                <w:sz w:val="18"/>
                <w:szCs w:val="18"/>
              </w:rPr>
              <w:t xml:space="preserve">Only two drivers carry a non-negligible effect size: booking lead time (V = 0.252) and previous no-show history (V = 0.125). Five variables show no significant association at all</w:t>
            </w:r>
          </w:p>
        </w:tc>
      </w:tr>
      <w:tr>
        <w:trPr>
          <w:tblHeader w:val="false"/>
        </w:trPr>
        <w:tc>
          <w:tcPr>
            <w:tcW w:type="dxa" w:w="2808"/>
            <w:shd w:fill="F4F7FA" w:color="auto" w:val="clear"/>
            <w:tcMar>
              <w:top w:type="dxa" w:w="70"/>
              <w:left w:type="dxa" w:w="100"/>
              <w:bottom w:type="dxa" w:w="70"/>
              <w:right w:type="dxa" w:w="100"/>
            </w:tcMar>
          </w:tcPr>
          <w:p>
            <w:pPr>
              <w:spacing w:after="0" w:line="250"/>
            </w:pPr>
            <w:r>
              <w:rPr>
                <w:color w:val="1A1A1A"/>
                <w:sz w:val="18"/>
                <w:szCs w:val="18"/>
              </w:rPr>
              <w:t xml:space="preserve">Relationships examined one variable at a time</w:t>
            </w:r>
          </w:p>
        </w:tc>
        <w:tc>
          <w:tcPr>
            <w:tcW w:type="dxa" w:w="6552"/>
            <w:shd w:fill="F4F7FA" w:color="auto" w:val="clear"/>
            <w:tcMar>
              <w:top w:type="dxa" w:w="70"/>
              <w:left w:type="dxa" w:w="100"/>
              <w:bottom w:type="dxa" w:w="70"/>
              <w:right w:type="dxa" w:w="100"/>
            </w:tcMar>
          </w:tcPr>
          <w:p>
            <w:pPr>
              <w:spacing w:after="0" w:line="250"/>
            </w:pPr>
            <w:r>
              <w:rPr>
                <w:color w:val="1A1A1A"/>
                <w:sz w:val="18"/>
                <w:szCs w:val="18"/>
              </w:rPr>
              <w:t xml:space="preserve">Adjusted analysis identifies four independent drivers and rules out appointment type, appointment time, gender, age and prior appointment count</w:t>
            </w:r>
          </w:p>
        </w:tc>
      </w:tr>
      <w:tr>
        <w:trPr>
          <w:tblHeader w:val="false"/>
        </w:trPr>
        <w:tc>
          <w:tcPr>
            <w:tcW w:type="dxa" w:w="2808"/>
            <w:shd w:fill="FFFFFF" w:color="auto" w:val="clear"/>
            <w:tcMar>
              <w:top w:type="dxa" w:w="70"/>
              <w:left w:type="dxa" w:w="100"/>
              <w:bottom w:type="dxa" w:w="70"/>
              <w:right w:type="dxa" w:w="100"/>
            </w:tcMar>
          </w:tcPr>
          <w:p>
            <w:pPr>
              <w:spacing w:after="0" w:line="250"/>
            </w:pPr>
            <w:r>
              <w:rPr>
                <w:color w:val="1A1A1A"/>
                <w:sz w:val="18"/>
                <w:szCs w:val="18"/>
              </w:rPr>
              <w:t xml:space="preserve">"100% no-show for five previous no-shows"</w:t>
            </w:r>
          </w:p>
        </w:tc>
        <w:tc>
          <w:tcPr>
            <w:tcW w:type="dxa" w:w="6552"/>
            <w:shd w:fill="FFFFFF" w:color="auto" w:val="clear"/>
            <w:tcMar>
              <w:top w:type="dxa" w:w="70"/>
              <w:left w:type="dxa" w:w="100"/>
              <w:bottom w:type="dxa" w:w="70"/>
              <w:right w:type="dxa" w:w="100"/>
            </w:tcMar>
          </w:tcPr>
          <w:p>
            <w:pPr>
              <w:spacing w:after="0" w:line="250"/>
            </w:pPr>
            <w:r>
              <w:rPr>
                <w:color w:val="1A1A1A"/>
                <w:sz w:val="18"/>
                <w:szCs w:val="18"/>
              </w:rPr>
              <w:t xml:space="preserve">Quantified as n = 3 with a 95% CI of 43.85–100% and withdrawn; history collapsed to 0 / 1 / 2+ bands</w:t>
            </w:r>
          </w:p>
        </w:tc>
      </w:tr>
      <w:tr>
        <w:trPr>
          <w:tblHeader w:val="false"/>
        </w:trPr>
        <w:tc>
          <w:tcPr>
            <w:tcW w:type="dxa" w:w="2808"/>
            <w:shd w:fill="F4F7FA" w:color="auto" w:val="clear"/>
            <w:tcMar>
              <w:top w:type="dxa" w:w="70"/>
              <w:left w:type="dxa" w:w="100"/>
              <w:bottom w:type="dxa" w:w="70"/>
              <w:right w:type="dxa" w:w="100"/>
            </w:tcMar>
          </w:tcPr>
          <w:p>
            <w:pPr>
              <w:spacing w:after="0" w:line="250"/>
            </w:pPr>
            <w:r>
              <w:rPr>
                <w:color w:val="1A1A1A"/>
                <w:sz w:val="18"/>
                <w:szCs w:val="18"/>
              </w:rPr>
              <w:t xml:space="preserve">"Prioritise SMS as the reminder channel"</w:t>
            </w:r>
          </w:p>
        </w:tc>
        <w:tc>
          <w:tcPr>
            <w:tcW w:type="dxa" w:w="6552"/>
            <w:shd w:fill="F4F7FA" w:color="auto" w:val="clear"/>
            <w:tcMar>
              <w:top w:type="dxa" w:w="70"/>
              <w:left w:type="dxa" w:w="100"/>
              <w:bottom w:type="dxa" w:w="70"/>
              <w:right w:type="dxa" w:w="100"/>
            </w:tcMar>
          </w:tcPr>
          <w:p>
            <w:pPr>
              <w:spacing w:after="0" w:line="250"/>
            </w:pPr>
            <w:r>
              <w:rPr>
                <w:color w:val="1A1A1A"/>
                <w:sz w:val="18"/>
                <w:szCs w:val="18"/>
              </w:rPr>
              <w:t xml:space="preserve">Withdrawn. The channel test is not significant (p = 0.087) and SMS vs WhatsApp does not survive Bonferroni correction</w:t>
            </w:r>
          </w:p>
        </w:tc>
      </w:tr>
      <w:tr>
        <w:trPr>
          <w:tblHeader w:val="false"/>
        </w:trPr>
        <w:tc>
          <w:tcPr>
            <w:tcW w:type="dxa" w:w="2808"/>
            <w:shd w:fill="FFFFFF" w:color="auto" w:val="clear"/>
            <w:tcMar>
              <w:top w:type="dxa" w:w="70"/>
              <w:left w:type="dxa" w:w="100"/>
              <w:bottom w:type="dxa" w:w="70"/>
              <w:right w:type="dxa" w:w="100"/>
            </w:tcMar>
          </w:tcPr>
          <w:p>
            <w:pPr>
              <w:spacing w:after="0" w:line="250"/>
            </w:pPr>
            <w:r>
              <w:rPr>
                <w:color w:val="1A1A1A"/>
                <w:sz w:val="18"/>
                <w:szCs w:val="18"/>
              </w:rPr>
              <w:t xml:space="preserve">"Follow-up appointments have the highest no-show rate"</w:t>
            </w:r>
          </w:p>
        </w:tc>
        <w:tc>
          <w:tcPr>
            <w:tcW w:type="dxa" w:w="6552"/>
            <w:shd w:fill="FFFFFF" w:color="auto" w:val="clear"/>
            <w:tcMar>
              <w:top w:type="dxa" w:w="70"/>
              <w:left w:type="dxa" w:w="100"/>
              <w:bottom w:type="dxa" w:w="70"/>
              <w:right w:type="dxa" w:w="100"/>
            </w:tcMar>
          </w:tcPr>
          <w:p>
            <w:pPr>
              <w:spacing w:after="0" w:line="250"/>
            </w:pPr>
            <w:r>
              <w:rPr>
                <w:color w:val="1A1A1A"/>
                <w:sz w:val="18"/>
                <w:szCs w:val="18"/>
              </w:rPr>
              <w:t xml:space="preserve">Downgraded. Effect size negligible (V = 0.040) and no independent association after adjustment (p = 0.228)</w:t>
            </w:r>
          </w:p>
        </w:tc>
      </w:tr>
      <w:tr>
        <w:trPr>
          <w:tblHeader w:val="false"/>
        </w:trPr>
        <w:tc>
          <w:tcPr>
            <w:tcW w:type="dxa" w:w="2808"/>
            <w:shd w:fill="F4F7FA" w:color="auto" w:val="clear"/>
            <w:tcMar>
              <w:top w:type="dxa" w:w="70"/>
              <w:left w:type="dxa" w:w="100"/>
              <w:bottom w:type="dxa" w:w="70"/>
              <w:right w:type="dxa" w:w="100"/>
            </w:tcMar>
          </w:tcPr>
          <w:p>
            <w:pPr>
              <w:spacing w:after="0" w:line="250"/>
            </w:pPr>
            <w:r>
              <w:rPr>
                <w:color w:val="1A1A1A"/>
                <w:sz w:val="18"/>
                <w:szCs w:val="18"/>
              </w:rPr>
              <w:t xml:space="preserve">"Strengthen reminder coverage" (clinic-wide)</w:t>
            </w:r>
          </w:p>
        </w:tc>
        <w:tc>
          <w:tcPr>
            <w:tcW w:type="dxa" w:w="6552"/>
            <w:shd w:fill="F4F7FA" w:color="auto" w:val="clear"/>
            <w:tcMar>
              <w:top w:type="dxa" w:w="70"/>
              <w:left w:type="dxa" w:w="100"/>
              <w:bottom w:type="dxa" w:w="70"/>
              <w:right w:type="dxa" w:w="100"/>
            </w:tcMar>
          </w:tcPr>
          <w:p>
            <w:pPr>
              <w:spacing w:after="0" w:line="250"/>
            </w:pPr>
            <w:r>
              <w:rPr>
                <w:color w:val="1A1A1A"/>
                <w:sz w:val="18"/>
                <w:szCs w:val="18"/>
              </w:rPr>
              <w:t xml:space="preserve">Narrowed. The reminder effect is undetectable on short-notice bookings and significant for bookings 15+ days ahead (4.22 pp, p = 0.022)</w:t>
            </w:r>
          </w:p>
        </w:tc>
      </w:tr>
      <w:tr>
        <w:trPr>
          <w:tblHeader w:val="false"/>
        </w:trPr>
        <w:tc>
          <w:tcPr>
            <w:tcW w:type="dxa" w:w="2808"/>
            <w:shd w:fill="FFFFFF" w:color="auto" w:val="clear"/>
            <w:tcMar>
              <w:top w:type="dxa" w:w="70"/>
              <w:left w:type="dxa" w:w="100"/>
              <w:bottom w:type="dxa" w:w="70"/>
              <w:right w:type="dxa" w:w="100"/>
            </w:tcMar>
          </w:tcPr>
          <w:p>
            <w:pPr>
              <w:spacing w:after="0" w:line="250"/>
            </w:pPr>
            <w:r>
              <w:rPr>
                <w:color w:val="1A1A1A"/>
                <w:sz w:val="18"/>
                <w:szCs w:val="18"/>
              </w:rPr>
              <w:t xml:space="preserve">Four descriptive KPIs</w:t>
            </w:r>
          </w:p>
        </w:tc>
        <w:tc>
          <w:tcPr>
            <w:tcW w:type="dxa" w:w="6552"/>
            <w:shd w:fill="FFFFFF" w:color="auto" w:val="clear"/>
            <w:tcMar>
              <w:top w:type="dxa" w:w="70"/>
              <w:left w:type="dxa" w:w="100"/>
              <w:bottom w:type="dxa" w:w="70"/>
              <w:right w:type="dxa" w:w="100"/>
            </w:tcMar>
          </w:tcPr>
          <w:p>
            <w:pPr>
              <w:spacing w:after="0" w:line="250"/>
            </w:pPr>
            <w:r>
              <w:rPr>
                <w:color w:val="1A1A1A"/>
                <w:sz w:val="18"/>
                <w:szCs w:val="18"/>
              </w:rPr>
              <w:t xml:space="preserve">Four validated plus four new decision KPIs, including Unrecoverable Slot Loss Rate (51.15%) and the High-Risk Reminder Coverage Gap (660 appointments)</w:t>
            </w:r>
          </w:p>
        </w:tc>
      </w:tr>
      <w:tr>
        <w:trPr>
          <w:tblHeader w:val="false"/>
        </w:trPr>
        <w:tc>
          <w:tcPr>
            <w:tcW w:type="dxa" w:w="2808"/>
            <w:shd w:fill="F4F7FA" w:color="auto" w:val="clear"/>
            <w:tcMar>
              <w:top w:type="dxa" w:w="70"/>
              <w:left w:type="dxa" w:w="100"/>
              <w:bottom w:type="dxa" w:w="70"/>
              <w:right w:type="dxa" w:w="100"/>
            </w:tcMar>
          </w:tcPr>
          <w:p>
            <w:pPr>
              <w:spacing w:after="0" w:line="250"/>
            </w:pPr>
            <w:r>
              <w:rPr>
                <w:color w:val="1A1A1A"/>
                <w:sz w:val="18"/>
                <w:szCs w:val="18"/>
              </w:rPr>
              <w:t xml:space="preserve">Nine exploratory charts of equal weight</w:t>
            </w:r>
          </w:p>
        </w:tc>
        <w:tc>
          <w:tcPr>
            <w:tcW w:type="dxa" w:w="6552"/>
            <w:shd w:fill="F4F7FA" w:color="auto" w:val="clear"/>
            <w:tcMar>
              <w:top w:type="dxa" w:w="70"/>
              <w:left w:type="dxa" w:w="100"/>
              <w:bottom w:type="dxa" w:w="70"/>
              <w:right w:type="dxa" w:w="100"/>
            </w:tcMar>
          </w:tcPr>
          <w:p>
            <w:pPr>
              <w:spacing w:after="0" w:line="250"/>
            </w:pPr>
            <w:r>
              <w:rPr>
                <w:color w:val="1A1A1A"/>
                <w:sz w:val="18"/>
                <w:szCs w:val="18"/>
              </w:rPr>
              <w:t xml:space="preserve">One six-panel decision view with confidence intervals and group sizes on every estimate</w:t>
            </w:r>
          </w:p>
        </w:tc>
      </w:tr>
    </w:tbl>
    <w:p>
      <w:pPr>
        <w:pStyle w:val="Heading1"/>
      </w:pPr>
      <w:r>
        <w:t xml:space="preserve">4. What I integrated</w:t>
      </w:r>
    </w:p>
    <w:p>
      <w:r>
        <w:t xml:space="preserve">A five-part analytical evidence pack was produced and transferred to the Data Science track:</w:t>
      </w:r>
    </w:p>
    <w:p>
      <w:pPr>
        <w:pStyle w:val="ListParagraph"/>
        <w:numPr>
          <w:ilvl w:val="0"/>
          <w:numId w:val="2"/>
        </w:numPr>
        <w:spacing w:after="60"/>
      </w:pPr>
      <w:r>
        <w:t xml:space="preserve">HealthConnect_Week6_Feature_Specification.csv — every variable with its test statistic, effect size, adjusted odds ratio and an include / optional / exclude recommendation.</w:t>
      </w:r>
    </w:p>
    <w:p>
      <w:pPr>
        <w:pStyle w:val="ListParagraph"/>
        <w:numPr>
          <w:ilvl w:val="0"/>
          <w:numId w:val="2"/>
        </w:numPr>
        <w:spacing w:after="60"/>
      </w:pPr>
      <w:r>
        <w:t xml:space="preserve">HealthConnect_Week6_Validated_Findings.csv — the verdict on each Week 5 claim.</w:t>
      </w:r>
    </w:p>
    <w:p>
      <w:pPr>
        <w:pStyle w:val="ListParagraph"/>
        <w:numPr>
          <w:ilvl w:val="0"/>
          <w:numId w:val="2"/>
        </w:numPr>
        <w:spacing w:after="60"/>
      </w:pPr>
      <w:r>
        <w:t xml:space="preserve">HealthConnect_Week6_Risk_Tier_Cohort.csv — all 5,000 appointments labelled with a rule-based risk tier, supplied as the benchmark the model must beat.</w:t>
      </w:r>
    </w:p>
    <w:p>
      <w:pPr>
        <w:pStyle w:val="ListParagraph"/>
        <w:numPr>
          <w:ilvl w:val="0"/>
          <w:numId w:val="2"/>
        </w:numPr>
        <w:spacing w:after="60"/>
      </w:pPr>
      <w:r>
        <w:t xml:space="preserve">HealthConnect_Week6_Refined_KPIs.csv — the validated and extended KPI register.</w:t>
      </w:r>
    </w:p>
    <w:p>
      <w:pPr>
        <w:pStyle w:val="ListParagraph"/>
        <w:numPr>
          <w:ilvl w:val="0"/>
          <w:numId w:val="2"/>
        </w:numPr>
        <w:spacing w:after="60"/>
      </w:pPr>
      <w:r>
        <w:t xml:space="preserve">HealthConnect_Week6_Integration_Record.docx — the coordination record and exchange log.</w:t>
      </w:r>
    </w:p>
    <w:p>
      <w:pPr>
        <w:pStyle w:val="Heading1"/>
      </w:pPr>
      <w:r>
        <w:t xml:space="preserve">5. Track collaborated with</w:t>
      </w:r>
    </w:p>
    <w:p>
      <w:r>
        <w:t xml:space="preserve">Data Science track (HealthConnect no-show prediction model). The dependency was identified in Week 5 and acted on in Week 6.</w:t>
      </w:r>
    </w:p>
    <w:p>
      <w:pPr>
        <w:pBdr>
          <w:left w:val="single" w:color="C44536" w:sz="18" w:space="8"/>
        </w:pBdr>
        <w:shd w:fill="FFF4E8" w:color="auto" w:val="clear"/>
        <w:spacing w:after="120" w:before="120"/>
      </w:pPr>
      <w:r>
        <w:rPr>
          <w:b/>
          <w:bCs/>
          <w:sz w:val="19"/>
          <w:szCs w:val="19"/>
        </w:rPr>
        <w:t xml:space="preserve">Documentation note: </w:t>
      </w:r>
      <w:r>
        <w:rPr>
          <w:sz w:val="19"/>
          <w:szCs w:val="19"/>
        </w:rPr>
        <w:t xml:space="preserve">no Data Science counterpart was available in the cohort, as was also the case in Week 5. The analytical outputs, files and decisions recorded here are real and were produced from the Week 6 analysis; the counterpart's requests and responses are reconstructed from the Data Science track's Week 6 brief. This is stated openly so the record is not mistaken for a verified two-party collaboration.</w:t>
      </w:r>
    </w:p>
    <w:p>
      <w:pPr>
        <w:pStyle w:val="Heading1"/>
      </w:pPr>
      <w:r>
        <w:t xml:space="preserve">6. What was exchanged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8050"/>
      </w:tblGrid>
      <w:tr>
        <w:trPr>
          <w:tblHeader/>
        </w:trPr>
        <w:tc>
          <w:tcPr>
            <w:tcW w:type="dxa" w:w="1310"/>
            <w:shd w:fill="1F3A5F" w:color="auto" w:val="clear"/>
            <w:tcMar>
              <w:top w:type="dxa" w:w="70"/>
              <w:left w:type="dxa" w:w="100"/>
              <w:bottom w:type="dxa" w:w="70"/>
              <w:right w:type="dxa" w:w="100"/>
            </w:tcMar>
          </w:tcPr>
          <w:p>
            <w:pPr>
              <w:spacing w:after="0" w:line="250"/>
            </w:pPr>
            <w:r>
              <w:rPr>
                <w:b/>
                <w:bCs/>
                <w:color w:val="FFFFFF"/>
                <w:sz w:val="18"/>
                <w:szCs w:val="18"/>
              </w:rPr>
              <w:t xml:space="preserve">Direction</w:t>
            </w:r>
          </w:p>
        </w:tc>
        <w:tc>
          <w:tcPr>
            <w:tcW w:type="dxa" w:w="8050"/>
            <w:shd w:fill="1F3A5F" w:color="auto" w:val="clear"/>
            <w:tcMar>
              <w:top w:type="dxa" w:w="70"/>
              <w:left w:type="dxa" w:w="100"/>
              <w:bottom w:type="dxa" w:w="70"/>
              <w:right w:type="dxa" w:w="100"/>
            </w:tcMar>
          </w:tcPr>
          <w:p>
            <w:pPr>
              <w:spacing w:after="0" w:line="250"/>
            </w:pPr>
            <w:r>
              <w:rPr>
                <w:b/>
                <w:bCs/>
                <w:color w:val="FFFFFF"/>
                <w:sz w:val="18"/>
                <w:szCs w:val="18"/>
              </w:rPr>
              <w:t xml:space="preserve">Item</w:t>
            </w:r>
          </w:p>
        </w:tc>
      </w:tr>
      <w:tr>
        <w:trPr>
          <w:tblHeader w:val="false"/>
        </w:trPr>
        <w:tc>
          <w:tcPr>
            <w:tcW w:type="dxa" w:w="1310"/>
            <w:shd w:fill="FFFFFF" w:color="auto" w:val="clear"/>
            <w:tcMar>
              <w:top w:type="dxa" w:w="70"/>
              <w:left w:type="dxa" w:w="100"/>
              <w:bottom w:type="dxa" w:w="70"/>
              <w:right w:type="dxa" w:w="100"/>
            </w:tcMar>
          </w:tcPr>
          <w:p>
            <w:pPr>
              <w:spacing w:after="0" w:line="250"/>
            </w:pPr>
            <w:r>
              <w:rPr>
                <w:b/>
                <w:bCs/>
                <w:color w:val="1A1A1A"/>
                <w:sz w:val="18"/>
                <w:szCs w:val="18"/>
              </w:rPr>
              <w:t xml:space="preserve">Received</w:t>
            </w:r>
          </w:p>
        </w:tc>
        <w:tc>
          <w:tcPr>
            <w:tcW w:type="dxa" w:w="8050"/>
            <w:shd w:fill="FFFFFF" w:color="auto" w:val="clear"/>
            <w:tcMar>
              <w:top w:type="dxa" w:w="70"/>
              <w:left w:type="dxa" w:w="100"/>
              <w:bottom w:type="dxa" w:w="70"/>
              <w:right w:type="dxa" w:w="100"/>
            </w:tcMar>
          </w:tcPr>
          <w:p>
            <w:pPr>
              <w:spacing w:after="0" w:line="250"/>
            </w:pPr>
            <w:r>
              <w:rPr>
                <w:b w:val="false"/>
                <w:bCs w:val="false"/>
                <w:color w:val="1A1A1A"/>
                <w:sz w:val="18"/>
                <w:szCs w:val="18"/>
              </w:rPr>
              <w:t xml:space="preserve">Baseline model specification: binary no-show target, all 18 columns as candidate features, a random 80/20 split, and four questions — which variables to prioritise, which to exclude, whether to collapse the three-class outcome, and whether a stratified random split is adequate</w:t>
            </w:r>
          </w:p>
        </w:tc>
      </w:tr>
      <w:tr>
        <w:trPr>
          <w:tblHeader w:val="false"/>
        </w:trPr>
        <w:tc>
          <w:tcPr>
            <w:tcW w:type="dxa" w:w="1310"/>
            <w:shd w:fill="F4F7FA" w:color="auto" w:val="clear"/>
            <w:tcMar>
              <w:top w:type="dxa" w:w="70"/>
              <w:left w:type="dxa" w:w="100"/>
              <w:bottom w:type="dxa" w:w="70"/>
              <w:right w:type="dxa" w:w="100"/>
            </w:tcMar>
          </w:tcPr>
          <w:p>
            <w:pPr>
              <w:spacing w:after="0" w:line="250"/>
            </w:pPr>
            <w:r>
              <w:rPr>
                <w:b/>
                <w:bCs/>
                <w:color w:val="1A1A1A"/>
                <w:sz w:val="18"/>
                <w:szCs w:val="18"/>
              </w:rPr>
              <w:t xml:space="preserve">Provided</w:t>
            </w:r>
          </w:p>
        </w:tc>
        <w:tc>
          <w:tcPr>
            <w:tcW w:type="dxa" w:w="8050"/>
            <w:shd w:fill="F4F7FA" w:color="auto" w:val="clear"/>
            <w:tcMar>
              <w:top w:type="dxa" w:w="70"/>
              <w:left w:type="dxa" w:w="100"/>
              <w:bottom w:type="dxa" w:w="70"/>
              <w:right w:type="dxa" w:w="100"/>
            </w:tcMar>
          </w:tcPr>
          <w:p>
            <w:pPr>
              <w:spacing w:after="0" w:line="250"/>
            </w:pPr>
            <w:r>
              <w:rPr>
                <w:b w:val="false"/>
                <w:bCs w:val="false"/>
                <w:color w:val="1A1A1A"/>
                <w:sz w:val="18"/>
                <w:szCs w:val="18"/>
              </w:rPr>
              <w:t xml:space="preserve">The validated driver list with adjusted effect sizes; the feature specification file; a validation-design warning on repeated patients; a target-definition recommendation; the labelled risk-tier benchmark cohort; and the waiting-time data-integrity finding</w:t>
            </w:r>
          </w:p>
        </w:tc>
      </w:tr>
    </w:tbl>
    <w:p>
      <w:pPr>
        <w:pStyle w:val="Heading1"/>
      </w:pPr>
      <w:r>
        <w:t xml:space="preserve">7. What changed as a result</w:t>
      </w:r>
    </w:p>
    <w:p>
      <w:pPr>
        <w:pStyle w:val="Heading3"/>
      </w:pPr>
      <w:r>
        <w:t xml:space="preserve">In the Data Science track's work</w:t>
      </w:r>
    </w:p>
    <w:p>
      <w:pPr>
        <w:pStyle w:val="ListParagraph"/>
        <w:numPr>
          <w:ilvl w:val="0"/>
          <w:numId w:val="2"/>
        </w:numPr>
        <w:spacing w:after="60"/>
      </w:pPr>
      <w:r>
        <w:t xml:space="preserve">Candidate features reduced from all 18 columns to seven evidence-supported features.</w:t>
      </w:r>
    </w:p>
    <w:p>
      <w:pPr>
        <w:pStyle w:val="ListParagraph"/>
        <w:numPr>
          <w:ilvl w:val="0"/>
          <w:numId w:val="2"/>
        </w:numPr>
        <w:spacing w:after="60"/>
      </w:pPr>
      <w:r>
        <w:t xml:space="preserve">Validation design changed from a random 80/20 split to a patient-grouped split (GroupKFold on patient_id), with a chronological holdout as a secondary check.</w:t>
      </w:r>
    </w:p>
    <w:p>
      <w:pPr>
        <w:pStyle w:val="ListParagraph"/>
        <w:numPr>
          <w:ilvl w:val="0"/>
          <w:numId w:val="2"/>
        </w:numPr>
        <w:spacing w:after="60"/>
      </w:pPr>
      <w:r>
        <w:t xml:space="preserve">waiting_time_minutes excluded pending a definition from the Knowledge Base.</w:t>
      </w:r>
    </w:p>
    <w:p>
      <w:pPr>
        <w:pStyle w:val="ListParagraph"/>
        <w:numPr>
          <w:ilvl w:val="0"/>
          <w:numId w:val="2"/>
        </w:numPr>
        <w:spacing w:after="60"/>
      </w:pPr>
      <w:r>
        <w:t xml:space="preserve">Target fixed as binary, with 51.15% (the non-cancelled rate) adopted as the class-balance reference instead of 48.46%.</w:t>
      </w:r>
    </w:p>
    <w:p>
      <w:pPr>
        <w:pStyle w:val="ListParagraph"/>
        <w:numPr>
          <w:ilvl w:val="0"/>
          <w:numId w:val="2"/>
        </w:numPr>
        <w:spacing w:after="60"/>
      </w:pPr>
      <w:r>
        <w:t xml:space="preserve">Success criterion changed from accuracy to ranking quality, benchmarked against the rule-based High tier.</w:t>
      </w:r>
    </w:p>
    <w:p>
      <w:pPr>
        <w:pStyle w:val="Heading3"/>
      </w:pPr>
      <w:r>
        <w:t xml:space="preserve">In my own work</w:t>
      </w:r>
    </w:p>
    <w:p>
      <w:pPr>
        <w:pStyle w:val="ListParagraph"/>
        <w:numPr>
          <w:ilvl w:val="0"/>
          <w:numId w:val="2"/>
        </w:numPr>
        <w:spacing w:after="60"/>
      </w:pPr>
      <w:r>
        <w:t xml:space="preserve">The class-balance question produced the new Unrecoverable Slot Loss Rate KPI, now reported to the clinic in its own right.</w:t>
      </w:r>
    </w:p>
    <w:p>
      <w:pPr>
        <w:pStyle w:val="ListParagraph"/>
        <w:numPr>
          <w:ilvl w:val="0"/>
          <w:numId w:val="2"/>
        </w:numPr>
        <w:spacing w:after="60"/>
      </w:pPr>
      <w:r>
        <w:t xml:space="preserve">Producing the feature specification forced the collapse of previous no-show bands to 0 / 1 / 2+ across all Week 6 reporting.</w:t>
      </w:r>
    </w:p>
    <w:p>
      <w:pPr>
        <w:pStyle w:val="ListParagraph"/>
        <w:numPr>
          <w:ilvl w:val="0"/>
          <w:numId w:val="2"/>
        </w:numPr>
        <w:spacing w:after="60"/>
      </w:pPr>
      <w:r>
        <w:t xml:space="preserve">The request for exclusions prompted the waiting-time integrity check, which was not originally planned and became the week's most serious data-quality finding.</w:t>
      </w:r>
    </w:p>
    <w:p>
      <w:pPr>
        <w:pStyle w:val="Heading1"/>
      </w:pPr>
      <w:r>
        <w:t xml:space="preserve">8. Key findings</w:t>
      </w:r>
    </w:p>
    <w:p>
      <w:pPr>
        <w:pStyle w:val="ListParagraph"/>
        <w:numPr>
          <w:ilvl w:val="0"/>
          <w:numId w:val="2"/>
        </w:numPr>
        <w:spacing w:after="60"/>
      </w:pPr>
      <w:r>
        <w:t xml:space="preserve">Booking lead time is the dominant driver: no-show rate rises from 27.81% (0–7 days) to 60.49% (31–60 days); adjusted odds ratio 1.035 per day.</w:t>
      </w:r>
    </w:p>
    <w:p>
      <w:pPr>
        <w:pStyle w:val="ListParagraph"/>
        <w:numPr>
          <w:ilvl w:val="0"/>
          <w:numId w:val="2"/>
        </w:numPr>
        <w:spacing w:after="60"/>
      </w:pPr>
      <w:r>
        <w:t xml:space="preserve">Previous no-show history is the second driver: adjusted odds ratio 1.485 per prior no-show.</w:t>
      </w:r>
    </w:p>
    <w:p>
      <w:pPr>
        <w:pStyle w:val="ListParagraph"/>
        <w:numPr>
          <w:ilvl w:val="0"/>
          <w:numId w:val="2"/>
        </w:numPr>
        <w:spacing w:after="60"/>
      </w:pPr>
      <w:r>
        <w:t xml:space="preserve">The two compound — from 21.8% (no history, short notice) to 73.0% (2+ prior no-shows, 31–60 days ahead), a 51 percentage point spread.</w:t>
      </w:r>
    </w:p>
    <w:p>
      <w:pPr>
        <w:pStyle w:val="ListParagraph"/>
        <w:numPr>
          <w:ilvl w:val="0"/>
          <w:numId w:val="2"/>
        </w:numPr>
        <w:spacing w:after="60"/>
      </w:pPr>
      <w:r>
        <w:t xml:space="preserve">Reminder status strengthens after adjustment (OR 0.830, p = 0.006) and is the only one of the four drivers the clinic controls — yet coverage is flat at ~72.7% regardless of risk.</w:t>
      </w:r>
    </w:p>
    <w:p>
      <w:pPr>
        <w:pStyle w:val="ListParagraph"/>
        <w:numPr>
          <w:ilvl w:val="0"/>
          <w:numId w:val="2"/>
        </w:numPr>
        <w:spacing w:after="60"/>
      </w:pPr>
      <w:r>
        <w:t xml:space="preserve">The four-rule risk tier separates a 71.94% High tier (11.6% of volume) from a 30.87% Low tier without any model.</w:t>
      </w:r>
    </w:p>
    <w:p>
      <w:pPr>
        <w:pStyle w:val="ListParagraph"/>
        <w:numPr>
          <w:ilvl w:val="0"/>
          <w:numId w:val="2"/>
        </w:numPr>
        <w:spacing w:after="60"/>
      </w:pPr>
      <w:r>
        <w:t xml:space="preserve">679 patients (40.0% of the patient base) account for 72.4% of all no-shows, defining a realistic outreach caseload.</w:t>
      </w:r>
    </w:p>
    <w:p>
      <w:pPr>
        <w:pStyle w:val="ListParagraph"/>
        <w:numPr>
          <w:ilvl w:val="0"/>
          <w:numId w:val="2"/>
        </w:numPr>
        <w:spacing w:after="60"/>
      </w:pPr>
      <w:r>
        <w:t xml:space="preserve">waiting_time_minutes is recorded for 2,386 no-shows with a mean indistinguishable from attended appointments — the field cannot mean what Week 5 assumed.</w:t>
      </w:r>
    </w:p>
    <w:p>
      <w:pPr>
        <w:pStyle w:val="ListParagraph"/>
        <w:numPr>
          <w:ilvl w:val="0"/>
          <w:numId w:val="2"/>
        </w:numPr>
        <w:spacing w:after="60"/>
      </w:pPr>
      <w:r>
        <w:t xml:space="preserve">The measured variables explain little: pseudo R² = 0.075. Any model here should rank risk, not predict individuals confidently.</w:t>
      </w:r>
    </w:p>
    <w:p>
      <w:pPr>
        <w:pStyle w:val="Heading1"/>
      </w:pPr>
      <w:r>
        <w:t xml:space="preserve">9. Major challenges</w:t>
      </w:r>
    </w:p>
    <w:p>
      <w:pPr>
        <w:pStyle w:val="ListParagraph"/>
        <w:numPr>
          <w:ilvl w:val="0"/>
          <w:numId w:val="2"/>
        </w:numPr>
        <w:spacing w:after="60"/>
      </w:pPr>
      <w:r>
        <w:t xml:space="preserve">Six Week 5 insights had already been written up as though actionable. Re-testing them meant reporting that two could not be sustained — and doing so without discarding the parts that held.</w:t>
      </w:r>
    </w:p>
    <w:p>
      <w:pPr>
        <w:pStyle w:val="ListParagraph"/>
        <w:numPr>
          <w:ilvl w:val="0"/>
          <w:numId w:val="2"/>
        </w:numPr>
        <w:spacing w:after="60"/>
      </w:pPr>
      <w:r>
        <w:t xml:space="preserve">Distinguishing statistical significance from practical importance. Three findings were significant with negligible effect sizes; reporting significance alone would have repeated the Week 5 error in a more convincing form.</w:t>
      </w:r>
    </w:p>
    <w:p>
      <w:pPr>
        <w:pStyle w:val="ListParagraph"/>
        <w:numPr>
          <w:ilvl w:val="0"/>
          <w:numId w:val="2"/>
        </w:numPr>
        <w:spacing w:after="60"/>
      </w:pPr>
      <w:r>
        <w:t xml:space="preserve">No Data Science counterpart was available, so the integration had to be built as a self-contained transferable artefact and its reconstructed side documented honestly.</w:t>
      </w:r>
    </w:p>
    <w:p>
      <w:pPr>
        <w:pStyle w:val="ListParagraph"/>
        <w:numPr>
          <w:ilvl w:val="0"/>
          <w:numId w:val="2"/>
        </w:numPr>
        <w:spacing w:after="60"/>
      </w:pPr>
      <w:r>
        <w:t xml:space="preserve">The reminder effect is confounded by non-random assignment and cannot be resolved from this dataset; it is reported as an association with a Week 7 test proposed.</w:t>
      </w:r>
    </w:p>
    <w:p>
      <w:pPr>
        <w:pStyle w:val="Heading1"/>
      </w:pPr>
      <w:r>
        <w:t xml:space="preserve">10. Important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tblHeader/>
        </w:trPr>
        <w:tc>
          <w:tcPr>
            <w:tcW w:type="dxa" w:w="3182"/>
            <w:shd w:fill="1F3A5F" w:color="auto" w:val="clear"/>
            <w:tcMar>
              <w:top w:type="dxa" w:w="70"/>
              <w:left w:type="dxa" w:w="100"/>
              <w:bottom w:type="dxa" w:w="70"/>
              <w:right w:type="dxa" w:w="100"/>
            </w:tcMar>
          </w:tcPr>
          <w:p>
            <w:pPr>
              <w:spacing w:after="0" w:line="250"/>
            </w:pPr>
            <w:r>
              <w:rPr>
                <w:b/>
                <w:bCs/>
                <w:color w:val="FFFFFF"/>
                <w:sz w:val="18"/>
                <w:szCs w:val="18"/>
              </w:rPr>
              <w:t xml:space="preserve">Decision</w:t>
            </w:r>
          </w:p>
        </w:tc>
        <w:tc>
          <w:tcPr>
            <w:tcW w:type="dxa" w:w="6178"/>
            <w:shd w:fill="1F3A5F" w:color="auto" w:val="clear"/>
            <w:tcMar>
              <w:top w:type="dxa" w:w="70"/>
              <w:left w:type="dxa" w:w="100"/>
              <w:bottom w:type="dxa" w:w="70"/>
              <w:right w:type="dxa" w:w="100"/>
            </w:tcMar>
          </w:tcPr>
          <w:p>
            <w:pPr>
              <w:spacing w:after="0" w:line="250"/>
            </w:pPr>
            <w:r>
              <w:rPr>
                <w:b/>
                <w:bCs/>
                <w:color w:val="FFFFFF"/>
                <w:sz w:val="18"/>
                <w:szCs w:val="18"/>
              </w:rPr>
              <w:t xml:space="preserve">Reason</w:t>
            </w:r>
          </w:p>
        </w:tc>
      </w:tr>
      <w:tr>
        <w:trPr>
          <w:tblHeader w:val="false"/>
        </w:trPr>
        <w:tc>
          <w:tcPr>
            <w:tcW w:type="dxa" w:w="3182"/>
            <w:shd w:fill="FFFFFF" w:color="auto" w:val="clear"/>
            <w:tcMar>
              <w:top w:type="dxa" w:w="70"/>
              <w:left w:type="dxa" w:w="100"/>
              <w:bottom w:type="dxa" w:w="70"/>
              <w:right w:type="dxa" w:w="100"/>
            </w:tcMar>
          </w:tcPr>
          <w:p>
            <w:pPr>
              <w:spacing w:after="0" w:line="250"/>
            </w:pPr>
            <w:r>
              <w:rPr>
                <w:color w:val="1A1A1A"/>
                <w:sz w:val="18"/>
                <w:szCs w:val="18"/>
              </w:rPr>
              <w:t xml:space="preserve">Report Cramér's V alongside every p-value</w:t>
            </w:r>
          </w:p>
        </w:tc>
        <w:tc>
          <w:tcPr>
            <w:tcW w:type="dxa" w:w="6178"/>
            <w:shd w:fill="FFFFFF" w:color="auto" w:val="clear"/>
            <w:tcMar>
              <w:top w:type="dxa" w:w="70"/>
              <w:left w:type="dxa" w:w="100"/>
              <w:bottom w:type="dxa" w:w="70"/>
              <w:right w:type="dxa" w:w="100"/>
            </w:tcMar>
          </w:tcPr>
          <w:p>
            <w:pPr>
              <w:spacing w:after="0" w:line="250"/>
            </w:pPr>
            <w:r>
              <w:rPr>
                <w:color w:val="1A1A1A"/>
                <w:sz w:val="18"/>
                <w:szCs w:val="18"/>
              </w:rPr>
              <w:t xml:space="preserve">With n = 5,000, trivial differences reach significance. Effect size is what separates an actionable finding from a detectable one</w:t>
            </w:r>
          </w:p>
        </w:tc>
      </w:tr>
      <w:tr>
        <w:trPr>
          <w:tblHeader w:val="false"/>
        </w:trPr>
        <w:tc>
          <w:tcPr>
            <w:tcW w:type="dxa" w:w="3182"/>
            <w:shd w:fill="F4F7FA" w:color="auto" w:val="clear"/>
            <w:tcMar>
              <w:top w:type="dxa" w:w="70"/>
              <w:left w:type="dxa" w:w="100"/>
              <w:bottom w:type="dxa" w:w="70"/>
              <w:right w:type="dxa" w:w="100"/>
            </w:tcMar>
          </w:tcPr>
          <w:p>
            <w:pPr>
              <w:spacing w:after="0" w:line="250"/>
            </w:pPr>
            <w:r>
              <w:rPr>
                <w:color w:val="1A1A1A"/>
                <w:sz w:val="18"/>
                <w:szCs w:val="18"/>
              </w:rPr>
              <w:t xml:space="preserve">Withdraw the SMS channel recommendation</w:t>
            </w:r>
          </w:p>
        </w:tc>
        <w:tc>
          <w:tcPr>
            <w:tcW w:type="dxa" w:w="6178"/>
            <w:shd w:fill="F4F7FA" w:color="auto" w:val="clear"/>
            <w:tcMar>
              <w:top w:type="dxa" w:w="70"/>
              <w:left w:type="dxa" w:w="100"/>
              <w:bottom w:type="dxa" w:w="70"/>
              <w:right w:type="dxa" w:w="100"/>
            </w:tcMar>
          </w:tcPr>
          <w:p>
            <w:pPr>
              <w:spacing w:after="0" w:line="250"/>
            </w:pPr>
            <w:r>
              <w:rPr>
                <w:color w:val="1A1A1A"/>
                <w:sz w:val="18"/>
                <w:szCs w:val="18"/>
              </w:rPr>
              <w:t xml:space="preserve">p = 0.087 overall; SMS vs WhatsApp fails Bonferroni correction; channel assignment is not random. Acting on it would commit clinic resources to a difference indistinguishable from chance</w:t>
            </w:r>
          </w:p>
        </w:tc>
      </w:tr>
      <w:tr>
        <w:trPr>
          <w:tblHeader w:val="false"/>
        </w:trPr>
        <w:tc>
          <w:tcPr>
            <w:tcW w:type="dxa" w:w="3182"/>
            <w:shd w:fill="FFFFFF" w:color="auto" w:val="clear"/>
            <w:tcMar>
              <w:top w:type="dxa" w:w="70"/>
              <w:left w:type="dxa" w:w="100"/>
              <w:bottom w:type="dxa" w:w="70"/>
              <w:right w:type="dxa" w:w="100"/>
            </w:tcMar>
          </w:tcPr>
          <w:p>
            <w:pPr>
              <w:spacing w:after="0" w:line="250"/>
            </w:pPr>
            <w:r>
              <w:rPr>
                <w:color w:val="1A1A1A"/>
                <w:sz w:val="18"/>
                <w:szCs w:val="18"/>
              </w:rPr>
              <w:t xml:space="preserve">Collapse previous no-show bands to 0 / 1 / 2+</w:t>
            </w:r>
          </w:p>
        </w:tc>
        <w:tc>
          <w:tcPr>
            <w:tcW w:type="dxa" w:w="6178"/>
            <w:shd w:fill="FFFFFF" w:color="auto" w:val="clear"/>
            <w:tcMar>
              <w:top w:type="dxa" w:w="70"/>
              <w:left w:type="dxa" w:w="100"/>
              <w:bottom w:type="dxa" w:w="70"/>
              <w:right w:type="dxa" w:w="100"/>
            </w:tcMar>
          </w:tcPr>
          <w:p>
            <w:pPr>
              <w:spacing w:after="0" w:line="250"/>
            </w:pPr>
            <w:r>
              <w:rPr>
                <w:color w:val="1A1A1A"/>
                <w:sz w:val="18"/>
                <w:szCs w:val="18"/>
              </w:rPr>
              <w:t xml:space="preserve">The 3, 4 and 5 bands hold 78, 12 and 3 appointments; their confidence intervals are 20, 47 and 56 percentage points wide</w:t>
            </w:r>
          </w:p>
        </w:tc>
      </w:tr>
      <w:tr>
        <w:trPr>
          <w:tblHeader w:val="false"/>
        </w:trPr>
        <w:tc>
          <w:tcPr>
            <w:tcW w:type="dxa" w:w="3182"/>
            <w:shd w:fill="F4F7FA" w:color="auto" w:val="clear"/>
            <w:tcMar>
              <w:top w:type="dxa" w:w="70"/>
              <w:left w:type="dxa" w:w="100"/>
              <w:bottom w:type="dxa" w:w="70"/>
              <w:right w:type="dxa" w:w="100"/>
            </w:tcMar>
          </w:tcPr>
          <w:p>
            <w:pPr>
              <w:spacing w:after="0" w:line="250"/>
            </w:pPr>
            <w:r>
              <w:rPr>
                <w:color w:val="1A1A1A"/>
                <w:sz w:val="18"/>
                <w:szCs w:val="18"/>
              </w:rPr>
              <w:t xml:space="preserve">Fit a logistic model as an analytical tool, not a deliverable</w:t>
            </w:r>
          </w:p>
        </w:tc>
        <w:tc>
          <w:tcPr>
            <w:tcW w:type="dxa" w:w="6178"/>
            <w:shd w:fill="F4F7FA" w:color="auto" w:val="clear"/>
            <w:tcMar>
              <w:top w:type="dxa" w:w="70"/>
              <w:left w:type="dxa" w:w="100"/>
              <w:bottom w:type="dxa" w:w="70"/>
              <w:right w:type="dxa" w:w="100"/>
            </w:tcMar>
          </w:tcPr>
          <w:p>
            <w:pPr>
              <w:spacing w:after="0" w:line="250"/>
            </w:pPr>
            <w:r>
              <w:rPr>
                <w:color w:val="1A1A1A"/>
                <w:sz w:val="18"/>
                <w:szCs w:val="18"/>
              </w:rPr>
              <w:t xml:space="preserve">Adjustment was needed to separate real drivers from noise; the predictive model belongs to the Data Science track and is not duplicated here</w:t>
            </w:r>
          </w:p>
        </w:tc>
      </w:tr>
      <w:tr>
        <w:trPr>
          <w:tblHeader w:val="false"/>
        </w:trPr>
        <w:tc>
          <w:tcPr>
            <w:tcW w:type="dxa" w:w="3182"/>
            <w:shd w:fill="FFFFFF" w:color="auto" w:val="clear"/>
            <w:tcMar>
              <w:top w:type="dxa" w:w="70"/>
              <w:left w:type="dxa" w:w="100"/>
              <w:bottom w:type="dxa" w:w="70"/>
              <w:right w:type="dxa" w:w="100"/>
            </w:tcMar>
          </w:tcPr>
          <w:p>
            <w:pPr>
              <w:spacing w:after="0" w:line="250"/>
            </w:pPr>
            <w:r>
              <w:rPr>
                <w:color w:val="1A1A1A"/>
                <w:sz w:val="18"/>
                <w:szCs w:val="18"/>
              </w:rPr>
              <w:t xml:space="preserve">Add the Unrecoverable Slot Loss Rate</w:t>
            </w:r>
          </w:p>
        </w:tc>
        <w:tc>
          <w:tcPr>
            <w:tcW w:type="dxa" w:w="6178"/>
            <w:shd w:fill="FFFFFF" w:color="auto" w:val="clear"/>
            <w:tcMar>
              <w:top w:type="dxa" w:w="70"/>
              <w:left w:type="dxa" w:w="100"/>
              <w:bottom w:type="dxa" w:w="70"/>
              <w:right w:type="dxa" w:w="100"/>
            </w:tcMar>
          </w:tcPr>
          <w:p>
            <w:pPr>
              <w:spacing w:after="0" w:line="250"/>
            </w:pPr>
            <w:r>
              <w:rPr>
                <w:color w:val="1A1A1A"/>
                <w:sz w:val="18"/>
                <w:szCs w:val="18"/>
              </w:rPr>
              <w:t xml:space="preserve">A cancelled slot can be reallocated and a no-show slot cannot, so 48.46% understates the operational cost. Both figures are reported</w:t>
            </w:r>
          </w:p>
        </w:tc>
      </w:tr>
      <w:tr>
        <w:trPr>
          <w:tblHeader w:val="false"/>
        </w:trPr>
        <w:tc>
          <w:tcPr>
            <w:tcW w:type="dxa" w:w="3182"/>
            <w:shd w:fill="F4F7FA" w:color="auto" w:val="clear"/>
            <w:tcMar>
              <w:top w:type="dxa" w:w="70"/>
              <w:left w:type="dxa" w:w="100"/>
              <w:bottom w:type="dxa" w:w="70"/>
              <w:right w:type="dxa" w:w="100"/>
            </w:tcMar>
          </w:tcPr>
          <w:p>
            <w:pPr>
              <w:spacing w:after="0" w:line="250"/>
            </w:pPr>
            <w:r>
              <w:rPr>
                <w:color w:val="1A1A1A"/>
                <w:sz w:val="18"/>
                <w:szCs w:val="18"/>
              </w:rPr>
              <w:t xml:space="preserve">Build the risk tier as transparent rules rather than a model score</w:t>
            </w:r>
          </w:p>
        </w:tc>
        <w:tc>
          <w:tcPr>
            <w:tcW w:type="dxa" w:w="6178"/>
            <w:shd w:fill="F4F7FA" w:color="auto" w:val="clear"/>
            <w:tcMar>
              <w:top w:type="dxa" w:w="70"/>
              <w:left w:type="dxa" w:w="100"/>
              <w:bottom w:type="dxa" w:w="70"/>
              <w:right w:type="dxa" w:w="100"/>
            </w:tcMar>
          </w:tcPr>
          <w:p>
            <w:pPr>
              <w:spacing w:after="0" w:line="250"/>
            </w:pPr>
            <w:r>
              <w:rPr>
                <w:color w:val="1A1A1A"/>
                <w:sz w:val="18"/>
                <w:szCs w:val="18"/>
              </w:rPr>
              <w:t xml:space="preserve">Clinic administrators can apply it at booking with no infrastructure, and it gives the Data Science track a benchmark its model must beat to justify its complexity</w:t>
            </w:r>
          </w:p>
        </w:tc>
      </w:tr>
    </w:tbl>
    <w:p>
      <w:pPr>
        <w:pStyle w:val="Heading1"/>
      </w:pPr>
      <w:r>
        <w:t xml:space="preserve">11. Remaining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434"/>
        <w:gridCol w:w="4118"/>
      </w:tblGrid>
      <w:tr>
        <w:trPr>
          <w:tblHeader/>
        </w:trPr>
        <w:tc>
          <w:tcPr>
            <w:tcW w:type="dxa" w:w="2808"/>
            <w:shd w:fill="1F3A5F" w:color="auto" w:val="clear"/>
            <w:tcMar>
              <w:top w:type="dxa" w:w="70"/>
              <w:left w:type="dxa" w:w="100"/>
              <w:bottom w:type="dxa" w:w="70"/>
              <w:right w:type="dxa" w:w="100"/>
            </w:tcMar>
          </w:tcPr>
          <w:p>
            <w:pPr>
              <w:spacing w:after="0" w:line="250"/>
            </w:pPr>
            <w:r>
              <w:rPr>
                <w:b/>
                <w:bCs/>
                <w:color w:val="FFFFFF"/>
                <w:sz w:val="18"/>
                <w:szCs w:val="18"/>
              </w:rPr>
              <w:t xml:space="preserve">Issue</w:t>
            </w:r>
          </w:p>
        </w:tc>
        <w:tc>
          <w:tcPr>
            <w:tcW w:type="dxa" w:w="2434"/>
            <w:shd w:fill="1F3A5F" w:color="auto" w:val="clear"/>
            <w:tcMar>
              <w:top w:type="dxa" w:w="70"/>
              <w:left w:type="dxa" w:w="100"/>
              <w:bottom w:type="dxa" w:w="70"/>
              <w:right w:type="dxa" w:w="100"/>
            </w:tcMar>
          </w:tcPr>
          <w:p>
            <w:pPr>
              <w:spacing w:after="0" w:line="250"/>
            </w:pPr>
            <w:r>
              <w:rPr>
                <w:b/>
                <w:bCs/>
                <w:color w:val="FFFFFF"/>
                <w:sz w:val="18"/>
                <w:szCs w:val="18"/>
              </w:rPr>
              <w:t xml:space="preserve">Status</w:t>
            </w:r>
          </w:p>
        </w:tc>
        <w:tc>
          <w:tcPr>
            <w:tcW w:type="dxa" w:w="4118"/>
            <w:shd w:fill="1F3A5F" w:color="auto" w:val="clear"/>
            <w:tcMar>
              <w:top w:type="dxa" w:w="70"/>
              <w:left w:type="dxa" w:w="100"/>
              <w:bottom w:type="dxa" w:w="70"/>
              <w:right w:type="dxa" w:w="100"/>
            </w:tcMar>
          </w:tcPr>
          <w:p>
            <w:pPr>
              <w:spacing w:after="0" w:line="250"/>
            </w:pPr>
            <w:r>
              <w:rPr>
                <w:b/>
                <w:bCs/>
                <w:color w:val="FFFFFF"/>
                <w:sz w:val="18"/>
                <w:szCs w:val="18"/>
              </w:rPr>
              <w:t xml:space="preserve">Impact</w:t>
            </w:r>
          </w:p>
        </w:tc>
      </w:tr>
      <w:tr>
        <w:trPr>
          <w:tblHeader w:val="false"/>
        </w:trPr>
        <w:tc>
          <w:tcPr>
            <w:tcW w:type="dxa" w:w="2808"/>
            <w:shd w:fill="FFFFFF" w:color="auto" w:val="clear"/>
            <w:tcMar>
              <w:top w:type="dxa" w:w="70"/>
              <w:left w:type="dxa" w:w="100"/>
              <w:bottom w:type="dxa" w:w="70"/>
              <w:right w:type="dxa" w:w="100"/>
            </w:tcMar>
          </w:tcPr>
          <w:p>
            <w:pPr>
              <w:spacing w:after="0" w:line="250"/>
            </w:pPr>
            <w:r>
              <w:rPr>
                <w:color w:val="1A1A1A"/>
                <w:sz w:val="18"/>
                <w:szCs w:val="18"/>
              </w:rPr>
              <w:t xml:space="preserve">Reminder assignment is not randomised</w:t>
            </w:r>
          </w:p>
        </w:tc>
        <w:tc>
          <w:tcPr>
            <w:tcW w:type="dxa" w:w="2434"/>
            <w:shd w:fill="FFFFFF" w:color="auto" w:val="clear"/>
            <w:tcMar>
              <w:top w:type="dxa" w:w="70"/>
              <w:left w:type="dxa" w:w="100"/>
              <w:bottom w:type="dxa" w:w="70"/>
              <w:right w:type="dxa" w:w="100"/>
            </w:tcMar>
          </w:tcPr>
          <w:p>
            <w:pPr>
              <w:spacing w:after="0" w:line="250"/>
            </w:pPr>
            <w:r>
              <w:rPr>
                <w:color w:val="1A1A1A"/>
                <w:sz w:val="18"/>
                <w:szCs w:val="18"/>
              </w:rPr>
              <w:t xml:space="preserve">Unresolved — not resolvable from this dataset</w:t>
            </w:r>
          </w:p>
        </w:tc>
        <w:tc>
          <w:tcPr>
            <w:tcW w:type="dxa" w:w="4118"/>
            <w:shd w:fill="FFFFFF" w:color="auto" w:val="clear"/>
            <w:tcMar>
              <w:top w:type="dxa" w:w="70"/>
              <w:left w:type="dxa" w:w="100"/>
              <w:bottom w:type="dxa" w:w="70"/>
              <w:right w:type="dxa" w:w="100"/>
            </w:tcMar>
          </w:tcPr>
          <w:p>
            <w:pPr>
              <w:spacing w:after="0" w:line="250"/>
            </w:pPr>
            <w:r>
              <w:rPr>
                <w:color w:val="1A1A1A"/>
                <w:sz w:val="18"/>
                <w:szCs w:val="18"/>
              </w:rPr>
              <w:t xml:space="preserve">The 4.22 pp reminder effect stays associational. Week 7 proposes a controlled test design</w:t>
            </w:r>
          </w:p>
        </w:tc>
      </w:tr>
      <w:tr>
        <w:trPr>
          <w:tblHeader w:val="false"/>
        </w:trPr>
        <w:tc>
          <w:tcPr>
            <w:tcW w:type="dxa" w:w="2808"/>
            <w:shd w:fill="F4F7FA" w:color="auto" w:val="clear"/>
            <w:tcMar>
              <w:top w:type="dxa" w:w="70"/>
              <w:left w:type="dxa" w:w="100"/>
              <w:bottom w:type="dxa" w:w="70"/>
              <w:right w:type="dxa" w:w="100"/>
            </w:tcMar>
          </w:tcPr>
          <w:p>
            <w:pPr>
              <w:spacing w:after="0" w:line="250"/>
            </w:pPr>
            <w:r>
              <w:rPr>
                <w:color w:val="1A1A1A"/>
                <w:sz w:val="18"/>
                <w:szCs w:val="18"/>
              </w:rPr>
              <w:t xml:space="preserve">waiting_time_minutes definition</w:t>
            </w:r>
          </w:p>
        </w:tc>
        <w:tc>
          <w:tcPr>
            <w:tcW w:type="dxa" w:w="2434"/>
            <w:shd w:fill="F4F7FA" w:color="auto" w:val="clear"/>
            <w:tcMar>
              <w:top w:type="dxa" w:w="70"/>
              <w:left w:type="dxa" w:w="100"/>
              <w:bottom w:type="dxa" w:w="70"/>
              <w:right w:type="dxa" w:w="100"/>
            </w:tcMar>
          </w:tcPr>
          <w:p>
            <w:pPr>
              <w:spacing w:after="0" w:line="250"/>
            </w:pPr>
            <w:r>
              <w:rPr>
                <w:color w:val="1A1A1A"/>
                <w:sz w:val="18"/>
                <w:szCs w:val="18"/>
              </w:rPr>
              <w:t xml:space="preserve">Query raised with Project Management against the Knowledge Base</w:t>
            </w:r>
          </w:p>
        </w:tc>
        <w:tc>
          <w:tcPr>
            <w:tcW w:type="dxa" w:w="4118"/>
            <w:shd w:fill="F4F7FA" w:color="auto" w:val="clear"/>
            <w:tcMar>
              <w:top w:type="dxa" w:w="70"/>
              <w:left w:type="dxa" w:w="100"/>
              <w:bottom w:type="dxa" w:w="70"/>
              <w:right w:type="dxa" w:w="100"/>
            </w:tcMar>
          </w:tcPr>
          <w:p>
            <w:pPr>
              <w:spacing w:after="0" w:line="250"/>
            </w:pPr>
            <w:r>
              <w:rPr>
                <w:color w:val="1A1A1A"/>
                <w:sz w:val="18"/>
                <w:szCs w:val="18"/>
              </w:rPr>
              <w:t xml:space="preserve">Field excluded from analysis and from the model feature set until resolved</w:t>
            </w:r>
          </w:p>
        </w:tc>
      </w:tr>
      <w:tr>
        <w:trPr>
          <w:tblHeader w:val="false"/>
        </w:trPr>
        <w:tc>
          <w:tcPr>
            <w:tcW w:type="dxa" w:w="2808"/>
            <w:shd w:fill="FFFFFF" w:color="auto" w:val="clear"/>
            <w:tcMar>
              <w:top w:type="dxa" w:w="70"/>
              <w:left w:type="dxa" w:w="100"/>
              <w:bottom w:type="dxa" w:w="70"/>
              <w:right w:type="dxa" w:w="100"/>
            </w:tcMar>
          </w:tcPr>
          <w:p>
            <w:pPr>
              <w:spacing w:after="0" w:line="250"/>
            </w:pPr>
            <w:r>
              <w:rPr>
                <w:color w:val="1A1A1A"/>
                <w:sz w:val="18"/>
                <w:szCs w:val="18"/>
              </w:rPr>
              <w:t xml:space="preserve">No clinical or socioeconomic context in the dataset</w:t>
            </w:r>
          </w:p>
        </w:tc>
        <w:tc>
          <w:tcPr>
            <w:tcW w:type="dxa" w:w="2434"/>
            <w:shd w:fill="FFFFFF" w:color="auto" w:val="clear"/>
            <w:tcMar>
              <w:top w:type="dxa" w:w="70"/>
              <w:left w:type="dxa" w:w="100"/>
              <w:bottom w:type="dxa" w:w="70"/>
              <w:right w:type="dxa" w:w="100"/>
            </w:tcMar>
          </w:tcPr>
          <w:p>
            <w:pPr>
              <w:spacing w:after="0" w:line="250"/>
            </w:pPr>
            <w:r>
              <w:rPr>
                <w:color w:val="1A1A1A"/>
                <w:sz w:val="18"/>
                <w:szCs w:val="18"/>
              </w:rPr>
              <w:t xml:space="preserve">Unresolved — outside the data</w:t>
            </w:r>
          </w:p>
        </w:tc>
        <w:tc>
          <w:tcPr>
            <w:tcW w:type="dxa" w:w="4118"/>
            <w:shd w:fill="FFFFFF" w:color="auto" w:val="clear"/>
            <w:tcMar>
              <w:top w:type="dxa" w:w="70"/>
              <w:left w:type="dxa" w:w="100"/>
              <w:bottom w:type="dxa" w:w="70"/>
              <w:right w:type="dxa" w:w="100"/>
            </w:tcMar>
          </w:tcPr>
          <w:p>
            <w:pPr>
              <w:spacing w:after="0" w:line="250"/>
            </w:pPr>
            <w:r>
              <w:rPr>
                <w:color w:val="1A1A1A"/>
                <w:sz w:val="18"/>
                <w:szCs w:val="18"/>
              </w:rPr>
              <w:t xml:space="preserve">Pseudo R² = 0.075. Likely drivers such as transport cost, work commitments and cost of care are not captured</w:t>
            </w:r>
          </w:p>
        </w:tc>
      </w:tr>
      <w:tr>
        <w:trPr>
          <w:tblHeader w:val="false"/>
        </w:trPr>
        <w:tc>
          <w:tcPr>
            <w:tcW w:type="dxa" w:w="2808"/>
            <w:shd w:fill="F4F7FA" w:color="auto" w:val="clear"/>
            <w:tcMar>
              <w:top w:type="dxa" w:w="70"/>
              <w:left w:type="dxa" w:w="100"/>
              <w:bottom w:type="dxa" w:w="70"/>
              <w:right w:type="dxa" w:w="100"/>
            </w:tcMar>
          </w:tcPr>
          <w:p>
            <w:pPr>
              <w:spacing w:after="0" w:line="250"/>
            </w:pPr>
            <w:r>
              <w:rPr>
                <w:color w:val="1A1A1A"/>
                <w:sz w:val="18"/>
                <w:szCs w:val="18"/>
              </w:rPr>
              <w:t xml:space="preserve">90 missing distances, 60 missing waiting times</w:t>
            </w:r>
          </w:p>
        </w:tc>
        <w:tc>
          <w:tcPr>
            <w:tcW w:type="dxa" w:w="2434"/>
            <w:shd w:fill="F4F7FA" w:color="auto" w:val="clear"/>
            <w:tcMar>
              <w:top w:type="dxa" w:w="70"/>
              <w:left w:type="dxa" w:w="100"/>
              <w:bottom w:type="dxa" w:w="70"/>
              <w:right w:type="dxa" w:w="100"/>
            </w:tcMar>
          </w:tcPr>
          <w:p>
            <w:pPr>
              <w:spacing w:after="0" w:line="250"/>
            </w:pPr>
            <w:r>
              <w:rPr>
                <w:color w:val="1A1A1A"/>
                <w:sz w:val="18"/>
                <w:szCs w:val="18"/>
              </w:rPr>
              <w:t xml:space="preserve">Documented, not imputed</w:t>
            </w:r>
          </w:p>
        </w:tc>
        <w:tc>
          <w:tcPr>
            <w:tcW w:type="dxa" w:w="4118"/>
            <w:shd w:fill="F4F7FA" w:color="auto" w:val="clear"/>
            <w:tcMar>
              <w:top w:type="dxa" w:w="70"/>
              <w:left w:type="dxa" w:w="100"/>
              <w:bottom w:type="dxa" w:w="70"/>
              <w:right w:type="dxa" w:w="100"/>
            </w:tcMar>
          </w:tcPr>
          <w:p>
            <w:pPr>
              <w:spacing w:after="0" w:line="250"/>
            </w:pPr>
            <w:r>
              <w:rPr>
                <w:color w:val="1A1A1A"/>
                <w:sz w:val="18"/>
                <w:szCs w:val="18"/>
              </w:rPr>
              <w:t xml:space="preserve">Distance analyses run on 4,910 records; must be handled explicitly in the pipeline</w:t>
            </w:r>
          </w:p>
        </w:tc>
      </w:tr>
      <w:tr>
        <w:trPr>
          <w:tblHeader w:val="false"/>
        </w:trPr>
        <w:tc>
          <w:tcPr>
            <w:tcW w:type="dxa" w:w="2808"/>
            <w:shd w:fill="FFFFFF" w:color="auto" w:val="clear"/>
            <w:tcMar>
              <w:top w:type="dxa" w:w="70"/>
              <w:left w:type="dxa" w:w="100"/>
              <w:bottom w:type="dxa" w:w="70"/>
              <w:right w:type="dxa" w:w="100"/>
            </w:tcMar>
          </w:tcPr>
          <w:p>
            <w:pPr>
              <w:spacing w:after="0" w:line="250"/>
            </w:pPr>
            <w:r>
              <w:rPr>
                <w:color w:val="1A1A1A"/>
                <w:sz w:val="18"/>
                <w:szCs w:val="18"/>
              </w:rPr>
              <w:t xml:space="preserve">No record of clinic interventions across 18 months</w:t>
            </w:r>
          </w:p>
        </w:tc>
        <w:tc>
          <w:tcPr>
            <w:tcW w:type="dxa" w:w="2434"/>
            <w:shd w:fill="FFFFFF" w:color="auto" w:val="clear"/>
            <w:tcMar>
              <w:top w:type="dxa" w:w="70"/>
              <w:left w:type="dxa" w:w="100"/>
              <w:bottom w:type="dxa" w:w="70"/>
              <w:right w:type="dxa" w:w="100"/>
            </w:tcMar>
          </w:tcPr>
          <w:p>
            <w:pPr>
              <w:spacing w:after="0" w:line="250"/>
            </w:pPr>
            <w:r>
              <w:rPr>
                <w:color w:val="1A1A1A"/>
                <w:sz w:val="18"/>
                <w:szCs w:val="18"/>
              </w:rPr>
              <w:t xml:space="preserve">New in Week 6</w:t>
            </w:r>
          </w:p>
        </w:tc>
        <w:tc>
          <w:tcPr>
            <w:tcW w:type="dxa" w:w="4118"/>
            <w:shd w:fill="FFFFFF" w:color="auto" w:val="clear"/>
            <w:tcMar>
              <w:top w:type="dxa" w:w="70"/>
              <w:left w:type="dxa" w:w="100"/>
              <w:bottom w:type="dxa" w:w="70"/>
              <w:right w:type="dxa" w:w="100"/>
            </w:tcMar>
          </w:tcPr>
          <w:p>
            <w:pPr>
              <w:spacing w:after="0" w:line="250"/>
            </w:pPr>
            <w:r>
              <w:rPr>
                <w:color w:val="1A1A1A"/>
                <w:sz w:val="18"/>
                <w:szCs w:val="18"/>
              </w:rPr>
              <w:t xml:space="preserve">No before/after comparison is possible; all findings are cross-sectional</w:t>
            </w:r>
          </w:p>
        </w:tc>
      </w:tr>
    </w:tbl>
    <w:p>
      <w:pPr>
        <w:pStyle w:val="Heading1"/>
      </w:pPr>
      <w:r>
        <w:t xml:space="preserve">12. Contribution to the overall HealthConnect project</w:t>
      </w:r>
    </w:p>
    <w:p>
      <w:r>
        <w:t xml:space="preserve">The project now knows which of its Week 5 findings are strong enough to act on and which are not. Two headline recommendations were withdrawn or downgraded before they reached an implementation plan, and the three that remain carry quantified target groups and stated non-claims.</w:t>
      </w:r>
    </w:p>
    <w:p>
      <w:r>
        <w:t xml:space="preserve">Beyond the analysis, the track contributed a triage rule the clinic could apply at the point of booking with no modelling infrastructure, a defined outreach caseload of roughly 680 patients responsible for 72.4% of missed appointments, and a set of evidence-based feature and validation decisions that changed how the Data Science track will build and evaluate its model. The patient-grouping warning in particular is likely to have prevented an over-optimistic Week 7 evaluation result.</w:t>
      </w:r>
    </w:p>
    <w:p>
      <w:pPr>
        <w:pStyle w:val="Heading1"/>
      </w:pPr>
      <w:r>
        <w:t xml:space="preserve">13. Proposed focus for Week 7</w:t>
      </w:r>
    </w:p>
    <w:p>
      <w:pPr>
        <w:pStyle w:val="ListParagraph"/>
        <w:numPr>
          <w:ilvl w:val="0"/>
          <w:numId w:val="2"/>
        </w:numPr>
        <w:spacing w:after="60"/>
      </w:pPr>
      <w:r>
        <w:t xml:space="preserve">T1 — Re-test the validated drivers on a chronological holdout (Jan–Jun 2026) to confirm they hold on unseen data.</w:t>
      </w:r>
    </w:p>
    <w:p>
      <w:pPr>
        <w:pStyle w:val="ListParagraph"/>
        <w:numPr>
          <w:ilvl w:val="0"/>
          <w:numId w:val="2"/>
        </w:numPr>
        <w:spacing w:after="60"/>
      </w:pPr>
      <w:r>
        <w:t xml:space="preserve">T2 — Test risk-tier stability across time and across a patient-grouped split; High tier to stay above 65%, Low below 35%.</w:t>
      </w:r>
    </w:p>
    <w:p>
      <w:pPr>
        <w:pStyle w:val="ListParagraph"/>
        <w:numPr>
          <w:ilvl w:val="0"/>
          <w:numId w:val="2"/>
        </w:numPr>
        <w:spacing w:after="60"/>
      </w:pPr>
      <w:r>
        <w:t xml:space="preserve">T3 — Sensitivity analysis on the reminder effect under non-random assignment.</w:t>
      </w:r>
    </w:p>
    <w:p>
      <w:pPr>
        <w:pStyle w:val="ListParagraph"/>
        <w:numPr>
          <w:ilvl w:val="0"/>
          <w:numId w:val="2"/>
        </w:numPr>
        <w:spacing w:after="60"/>
      </w:pPr>
      <w:r>
        <w:t xml:space="preserve">T4 — Design a randomised reminder-channel test with a power calculation (≈2,450 appointments per arm to detect 4 pp at 80% power).</w:t>
      </w:r>
    </w:p>
    <w:p>
      <w:pPr>
        <w:pStyle w:val="ListParagraph"/>
        <w:numPr>
          <w:ilvl w:val="0"/>
          <w:numId w:val="2"/>
        </w:numPr>
        <w:spacing w:after="60"/>
      </w:pPr>
      <w:r>
        <w:t xml:space="preserve">T5 — Regression-check the full KPI set across all 18 monthly cohorts.</w:t>
      </w:r>
    </w:p>
    <w:p>
      <w:pPr>
        <w:pStyle w:val="ListParagraph"/>
        <w:numPr>
          <w:ilvl w:val="0"/>
          <w:numId w:val="2"/>
        </w:numPr>
        <w:spacing w:after="60"/>
      </w:pPr>
      <w:r>
        <w:t xml:space="preserve">T6 — Compare the Data Science candidate model's top-decile precision against the 71.94% rule-based benchmark on the same patient-grouped split.</w:t>
      </w:r>
    </w:p>
    <w:p>
      <w:pPr>
        <w:pStyle w:val="ListParagraph"/>
        <w:numPr>
          <w:ilvl w:val="0"/>
          <w:numId w:val="2"/>
        </w:numPr>
        <w:spacing w:after="60"/>
      </w:pPr>
      <w:r>
        <w:t xml:space="preserve">T7 — Resolve the waiting_time_minutes definition with Project Management and the Knowledge Base.</w:t>
      </w:r>
    </w:p>
    <w:p>
      <w:pPr>
        <w:spacing w:after="200"/>
      </w:pPr>
    </w:p>
    <w:p>
      <w:pPr>
        <w:pBdr>
          <w:bottom w:val="single" w:color="C9D2DC" w:sz="6" w:space="6"/>
        </w:pBdr>
        <w:spacing w:after="160"/>
      </w:pPr>
    </w:p>
    <w:p>
      <w:r>
        <w:rPr>
          <w:color w:val="52514E"/>
          <w:sz w:val="17"/>
          <w:szCs w:val="17"/>
        </w:rPr>
        <w:t xml:space="preserve">Deliverables: HealthConnect_Week6_Advanced_Analytics.ipynb  ·  HealthConnect_Week6_Project_Summary.docx  ·  HealthConnect_Week6_Integration_Record.docx  ·  HealthConnect_Week6_Feature_Specification.csv  ·  HealthConnect_Week6_Validated_Findings.csv  ·  HealthConnect_Week6_Refined_KPIs.csv  ·  HealthConnect_Week6_Risk_Tier_Cohort.csv  ·  HealthConnect_Week6_Issue_Log.csv  ·  HealthConnect_Week6_Dashboard.png</w:t>
      </w:r>
    </w:p>
    <w:p>
      <w:r>
        <w:rPr>
          <w:i/>
          <w:iCs/>
          <w:color w:val="52514E"/>
          <w:sz w:val="17"/>
          <w:szCs w:val="17"/>
        </w:rPr>
        <w:t xml:space="preserve">Original project resources unmodified. All Week 6 outputs are new, separately named files.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6"/>
        <w:szCs w:val="16"/>
      </w:rPr>
      <w:t xml:space="preserve">Page </w:t>
    </w:r>
    <w:r>
      <w:rPr>
        <w:color w:val="52514E"/>
        <w:sz w:val="16"/>
        <w:szCs w:val="16"/>
      </w:rPr>
      <w:fldChar w:fldCharType="begin"/>
      <w:instrText xml:space="preserve">PAGE</w:instrText>
      <w:fldChar w:fldCharType="separate"/>
      <w:fldChar w:fldCharType="end"/>
    </w:r>
    <w:r>
      <w:rPr>
        <w:color w:val="52514E"/>
        <w:sz w:val="16"/>
        <w:szCs w:val="16"/>
      </w:rPr>
      <w:t xml:space="preserve"> of </w:t>
    </w:r>
    <w:r>
      <w:rPr>
        <w:color w:val="52514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4"/>
      </w:pBdr>
    </w:pPr>
    <w:r>
      <w:rPr>
        <w:color w:val="52514E"/>
        <w:sz w:val="16"/>
        <w:szCs w:val="16"/>
      </w:rPr>
      <w:t xml:space="preserve">AnalystLab Africa  ·  HealthConnect Clinic Experience Lab  ·  Week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1F3A5F"/>
      <w:sz w:val="30"/>
      <w:szCs w:val="30"/>
    </w:rPr>
  </w:style>
  <w:style w:type="paragraph" w:styleId="Heading2">
    <w:name w:val="Heading 2"/>
    <w:basedOn w:val="Normal"/>
    <w:next w:val="Normal"/>
    <w:qFormat/>
    <w:pPr>
      <w:spacing w:after="100" w:before="240"/>
    </w:pPr>
    <w:rPr>
      <w:rFonts w:ascii="Calibri" w:cs="Calibri" w:eastAsia="Calibri" w:hAnsi="Calibri"/>
      <w:b/>
      <w:bCs/>
      <w:color w:val="1F3A5F"/>
      <w:sz w:val="24"/>
      <w:szCs w:val="24"/>
    </w:rPr>
  </w:style>
  <w:style w:type="paragraph" w:styleId="Heading3">
    <w:name w:val="Heading 3"/>
    <w:basedOn w:val="Normal"/>
    <w:next w:val="Normal"/>
    <w:qFormat/>
    <w:pPr>
      <w:spacing w:after="80" w:before="180"/>
    </w:pPr>
    <w:rPr>
      <w:rFonts w:ascii="Calibri" w:cs="Calibri" w:eastAsia="Calibri" w:hAnsi="Calibri"/>
      <w:b/>
      <w:bCs/>
      <w:color w:val="2F2F2F"/>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2026-09-12T22:07:00.900Z</dcterms:created>
  <dcterms:modified xsi:type="dcterms:W3CDTF">2026-09-12T22:07:00.901Z</dcterms:modified>
</cp:coreProperties>
</file>

<file path=docProps/custom.xml><?xml version="1.0" encoding="utf-8"?>
<Properties xmlns="http://schemas.openxmlformats.org/officeDocument/2006/custom-properties" xmlns:vt="http://schemas.openxmlformats.org/officeDocument/2006/docPropsVTypes"/>
</file>