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spacing w:before="0" w:after="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7772400" cy="10058400"/>
            <wp:effectExtent l="0" t="0" r="0" b="0"/>
            <wp:docPr id="1" name="allocation-letter-master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location-letter-master-page-1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</w:sectPr>
      </w:pPr>
    </w:p>
    <w:p>
      <w:pPr>
        <w:spacing w:before="0" w:after="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7772400" cy="10058400"/>
            <wp:effectExtent l="0" t="0" r="0" b="0"/>
            <wp:docPr id="2" name="allocation-letter-master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llocation-letter-master-page-2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</w:sectPr>
      </w:pPr>
    </w:p>
    <w:sectPr>
      <w:pgSz w:w="12240" w:h="15840"/>
      <w:pgMar w:top="0" w:right="0" w:bottom="0" w:left="0" w:header="0" w:footer="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allocation-letter-master-page-1.png"/>
  <Relationship Id="rId2" Type="http://schemas.openxmlformats.org/officeDocument/2006/relationships/image" Target="media/allocation-letter-master-page-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PDF Template Converter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Codex</cp:lastModifiedBy>
</cp:coreProperties>
</file>