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VOG ENTERPRISE - VERİ GİRİŞİ KULLANIM KILAVUZU</w:t>
      </w:r>
    </w:p>
    <w:p>
      <w:pPr>
        <w:pStyle w:val="Heading1"/>
        <w:spacing w:after="200" w:before="400"/>
      </w:pPr>
      <w:r>
        <w:t xml:space="preserve">Giriş</w:t>
      </w:r>
    </w:p>
    <w:p>
      <w:pPr>
        <w:spacing w:after="200"/>
      </w:pPr>
      <w:r>
        <w:t xml:space="preserve">Bu belge, VOG Enterprise portalı içerisine yeni eklenen 'Veri Girişi' (Admin Data Entry) modülünün nasıl çalıştığını ve nasıl kullanılacağını detaylandırmaktadır. Ekran genel olarak iki sekmeden oluşmaktadır: Satış Girişi ve İrsaliye Girişi.</w:t>
      </w:r>
    </w:p>
    <w:p>
      <w:pPr>
        <w:pStyle w:val="Heading2"/>
        <w:spacing w:after="200" w:before="400"/>
      </w:pPr>
      <w:r>
        <w:t xml:space="preserve">1. Satış Girişi (Sales Entry)</w:t>
      </w:r>
    </w:p>
    <w:p>
      <w:pPr>
        <w:spacing w:after="200"/>
      </w:pPr>
      <w:r>
        <w:t xml:space="preserve">Satış Girişi sekmesi, mevcut bir siparişe veya perakende bir satışa istinaden ürün çıkışlarını kaydetmek için kullanılır. Buradan girilen veriler sistemin 'Satış Raporları' sayfasına doğrudan yansır.</w:t>
      </w:r>
    </w:p>
    <w:p>
      <w:pPr>
        <w:pStyle w:val="Heading3"/>
        <w:spacing w:after="100"/>
      </w:pPr>
      <w:r>
        <w:t xml:space="preserve">Doldurulması Gereken Alanlar:</w:t>
      </w:r>
    </w:p>
    <w:p>
      <w:pPr>
        <w:pStyle w:val="ListParagraph"/>
        <w:numPr>
          <w:ilvl w:val="0"/>
          <w:numId w:val="1"/>
        </w:numPr>
      </w:pPr>
      <w:r>
        <w:t xml:space="preserve">Sipariş Seçin: İlgili satışın ait olduğu siparişi seçmenizi sağlar (Opsiyonel).</w:t>
      </w:r>
    </w:p>
    <w:p>
      <w:pPr>
        <w:pStyle w:val="ListParagraph"/>
        <w:numPr>
          <w:ilvl w:val="0"/>
          <w:numId w:val="1"/>
        </w:numPr>
      </w:pPr>
      <w:r>
        <w:t xml:space="preserve">Barkod: Satışı yapılan ürünün benzersiz barkodu.</w:t>
      </w:r>
    </w:p>
    <w:p>
      <w:pPr>
        <w:pStyle w:val="ListParagraph"/>
        <w:numPr>
          <w:ilvl w:val="0"/>
          <w:numId w:val="1"/>
        </w:numPr>
      </w:pPr>
      <w:r>
        <w:t xml:space="preserve">EAN13: Ürüne ait uluslararası barkod numarası.</w:t>
      </w:r>
    </w:p>
    <w:p>
      <w:pPr>
        <w:pStyle w:val="ListParagraph"/>
        <w:numPr>
          <w:ilvl w:val="0"/>
          <w:numId w:val="1"/>
        </w:numPr>
      </w:pPr>
      <w:r>
        <w:t xml:space="preserve">Miktar: Kaç adet satış gerçekleştiği girilmelidir.</w:t>
      </w:r>
    </w:p>
    <w:p>
      <w:pPr>
        <w:pStyle w:val="ListParagraph"/>
        <w:numPr>
          <w:ilvl w:val="0"/>
          <w:numId w:val="1"/>
        </w:numPr>
      </w:pPr>
      <w:r>
        <w:t xml:space="preserve">Lokasyon: Satışın veya çıkışın yapıldığı depo veya mağaza konumu.</w:t>
      </w:r>
    </w:p>
    <w:p>
      <w:pPr>
        <w:spacing w:after="200" w:before="200"/>
      </w:pPr>
      <w:r>
        <w:t xml:space="preserve">Kullanım: Tüm bilgileri doldurduktan sonra 'KAYDI KAYDET' butonuna basarak işlemi tamamlayabilirsiniz. İşlem sonrası veritabanına kayıt atılır ve stok hareketleri işlenir.</w:t>
      </w:r>
    </w:p>
    <w:p>
      <w:pPr>
        <w:pStyle w:val="Heading2"/>
        <w:spacing w:after="200" w:before="400"/>
      </w:pPr>
      <w:r>
        <w:t xml:space="preserve">2. İrsaliye Girişi (Voucher/Dispatch Entry)</w:t>
      </w:r>
    </w:p>
    <w:p>
      <w:pPr>
        <w:spacing w:after="200"/>
      </w:pPr>
      <w:r>
        <w:t xml:space="preserve">İrsaliye Girişi sekmesi, depoya giren yeni ürünlerin kaydı veya toptan çıkış irsaliyelerinin sisteme işlenmesi için kullanılır. Bu sayfada ürün özelliklerini daha detaylı belirtebilirsiniz. Eklenen veriler 'İrsaliye Arşivi' raporlarında görüntülenir.</w:t>
      </w:r>
    </w:p>
    <w:p>
      <w:pPr>
        <w:pStyle w:val="Heading3"/>
        <w:spacing w:after="100"/>
      </w:pPr>
      <w:r>
        <w:t xml:space="preserve">Doldurulması Gereken Ek Alanlar:</w:t>
      </w:r>
    </w:p>
    <w:p>
      <w:pPr>
        <w:pStyle w:val="ListParagraph"/>
        <w:numPr>
          <w:ilvl w:val="0"/>
          <w:numId w:val="1"/>
        </w:numPr>
      </w:pPr>
      <w:r>
        <w:t xml:space="preserve">Ürün Adı: Ürünün sistemsel adı.</w:t>
      </w:r>
    </w:p>
    <w:p>
      <w:pPr>
        <w:pStyle w:val="ListParagraph"/>
        <w:numPr>
          <w:ilvl w:val="0"/>
          <w:numId w:val="1"/>
        </w:numPr>
      </w:pPr>
      <w:r>
        <w:t xml:space="preserve">Renk / Beden / Marka: Ürünün varyant özelliklerini belirtir.</w:t>
      </w:r>
    </w:p>
    <w:p>
      <w:pPr>
        <w:spacing w:after="200" w:before="200"/>
      </w:pPr>
      <w:r>
        <w:t xml:space="preserve">Kullanım: Gerekli detayları girdikten sonra 'KAYDI KAYDET' butonuna basmanız yeterlidir.</w:t>
      </w:r>
    </w:p>
    <w:p>
      <w:pPr>
        <w:pStyle w:val="Heading1"/>
        <w:spacing w:after="200" w:before="400"/>
      </w:pPr>
      <w:r>
        <w:t xml:space="preserve">Raporlar ve Sonuç</w:t>
      </w:r>
    </w:p>
    <w:p>
      <w:r>
        <w:t xml:space="preserve">Bu ekranlar aracılığıyla girdiğiniz 'Satış' ve 'İrsaliye' miktarları anlık olarak VOG Veritabanına işlenmektedir. Sistemin sol menüsündeki 'Raporlar' bölümüne geçtiğinizde, girdiğiniz miktarları (Örn: 5 adet satış veya 100 adet irsaliye girişi) eksiksiz olarak rapor tablolarında listelenmiş ve Excel'e dışa aktarılabilir şekilde görebilirsiniz.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 Girişi Kullanım Kılavuzu</dc:title>
  <dc:creator>VOG Enterprise</dc:creator>
  <cp:lastModifiedBy>Un-named</cp:lastModifiedBy>
  <cp:revision>1</cp:revision>
  <dcterms:created xsi:type="dcterms:W3CDTF">2026-06-05T12:17:41.270Z</dcterms:created>
  <dcterms:modified xsi:type="dcterms:W3CDTF">2026-06-05T12:17:41.270Z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