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7A" w:rsidRDefault="00553A7A">
      <w:r>
        <w:t>KVM – hypervisor</w:t>
      </w:r>
    </w:p>
    <w:p w:rsidR="00553A7A" w:rsidRDefault="00553A7A">
      <w:r>
        <w:t>sudo virt-manager - to bring up virtual machine manager from host</w:t>
      </w:r>
    </w:p>
    <w:p w:rsidR="00553A7A" w:rsidRDefault="00553A7A">
      <w:r>
        <w:t>get IP address of running VM</w:t>
      </w:r>
    </w:p>
    <w:p w:rsidR="00553A7A" w:rsidRDefault="00553A7A" w:rsidP="00553A7A">
      <w:pPr>
        <w:pStyle w:val="ListParagraph"/>
        <w:numPr>
          <w:ilvl w:val="0"/>
          <w:numId w:val="36"/>
        </w:numPr>
      </w:pPr>
      <w:r>
        <w:t>run ‘arp – an’ from the host</w:t>
      </w:r>
      <w:r w:rsidR="00FF7046">
        <w:t>, this will list IP addresses next to mac addresses</w:t>
      </w:r>
    </w:p>
    <w:p w:rsidR="00553A7A" w:rsidRDefault="00553A7A" w:rsidP="00553A7A">
      <w:pPr>
        <w:pStyle w:val="ListParagraph"/>
        <w:numPr>
          <w:ilvl w:val="0"/>
          <w:numId w:val="36"/>
        </w:numPr>
      </w:pPr>
      <w:r>
        <w:t>from VM Manager right-click and open VM</w:t>
      </w:r>
      <w:r w:rsidR="00FF7046">
        <w:t>, compare NIC Macs with arp return</w:t>
      </w:r>
    </w:p>
    <w:p w:rsidR="00FF7046" w:rsidRDefault="00FF7046" w:rsidP="00553A7A">
      <w:pPr>
        <w:pStyle w:val="ListParagraph"/>
        <w:numPr>
          <w:ilvl w:val="0"/>
          <w:numId w:val="36"/>
        </w:numPr>
      </w:pPr>
      <w:r>
        <w:t>NOTE – arp my not contain all of your VM’s</w:t>
      </w:r>
    </w:p>
    <w:p w:rsidR="00FF7046" w:rsidRDefault="00FF7046" w:rsidP="00FF7046">
      <w:r>
        <w:t xml:space="preserve">KVM Image location - </w:t>
      </w:r>
      <w:bookmarkStart w:id="0" w:name="_GoBack"/>
      <w:r w:rsidRPr="00FF7046">
        <w:t>/var/lib/libvirt/images</w:t>
      </w:r>
      <w:bookmarkEnd w:id="0"/>
    </w:p>
    <w:p w:rsidR="00553A7A" w:rsidRDefault="00553A7A"/>
    <w:p w:rsidR="00E665B5" w:rsidRDefault="00E665B5">
      <w:r>
        <w:t>IT ServiceDesk – email address to send PC issues to</w:t>
      </w:r>
    </w:p>
    <w:p w:rsidR="00E665B5" w:rsidRDefault="00E665B5">
      <w:r>
        <w:t>Facilities – email address to send facility type stuff to</w:t>
      </w:r>
    </w:p>
    <w:p w:rsidR="00EB6CBF" w:rsidRDefault="00EB6CBF">
      <w:r>
        <w:t>Clear old passwords for outlook / lync – Control Panel Items, Credential Manager, generic credentials, remove from vault.</w:t>
      </w:r>
    </w:p>
    <w:p w:rsidR="008A43B4" w:rsidRDefault="008A43B4">
      <w:r>
        <w:t>x69 – Dennis</w:t>
      </w:r>
    </w:p>
    <w:p w:rsidR="008A43B4" w:rsidRDefault="008A43B4">
      <w:r>
        <w:t>xdr – Tony</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w:t>
      </w:r>
      <w:r w:rsidR="00E665B5">
        <w:t>S</w:t>
      </w:r>
      <w:r>
        <w:t xml:space="preserve"> – Windows internet naming services (legacy IP Address naming) Not really used anymore but still setup</w:t>
      </w:r>
    </w:p>
    <w:p w:rsidR="000A670F" w:rsidRDefault="0054263E">
      <w:r>
        <w:lastRenderedPageBreak/>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t>ipconfig /release – release your current IP.</w:t>
      </w:r>
    </w:p>
    <w:p w:rsidR="000A670F" w:rsidRDefault="000A670F">
      <w:r>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r w:rsidR="0077108C">
        <w:t>)</w:t>
      </w:r>
      <w:r>
        <w:t>– (secondary DNS server)</w:t>
      </w:r>
    </w:p>
    <w:p w:rsidR="00E76664" w:rsidRDefault="00E76664">
      <w:r>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lastRenderedPageBreak/>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6"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t>VI client (vsphere)</w:t>
      </w:r>
    </w:p>
    <w:p w:rsidR="008B7B20" w:rsidRDefault="008B7B20" w:rsidP="003A4F74">
      <w:r>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lastRenderedPageBreak/>
        <w:t xml:space="preserve">alert monitor user preferences: </w:t>
      </w:r>
    </w:p>
    <w:p w:rsidR="00ED74E1" w:rsidRDefault="00553A7A" w:rsidP="00C84C49">
      <w:pPr>
        <w:rPr>
          <w:rStyle w:val="Hyperlink"/>
        </w:rPr>
      </w:pPr>
      <w:hyperlink r:id="rId7"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t>NAS – Network attached storage</w:t>
      </w:r>
    </w:p>
    <w:p w:rsidR="00C84C49" w:rsidRDefault="00C84C49" w:rsidP="00C84C49">
      <w:r>
        <w:t>Powerpath (triangle icon) indicates server is or was connected to the san</w:t>
      </w:r>
    </w:p>
    <w:p w:rsidR="00C84C49" w:rsidRDefault="00C84C49" w:rsidP="00C84C49">
      <w:r>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553A7A" w:rsidP="00483207">
      <w:hyperlink r:id="rId8"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lastRenderedPageBreak/>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use diskpart from the cmd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t>type: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lastRenderedPageBreak/>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553A7A" w:rsidP="004761E9">
      <w:pPr>
        <w:pStyle w:val="NormalWeb"/>
        <w:numPr>
          <w:ilvl w:val="0"/>
          <w:numId w:val="10"/>
        </w:numPr>
      </w:pPr>
      <w:hyperlink r:id="rId9" w:history="1">
        <w:r w:rsidR="004761E9" w:rsidRPr="005463D6">
          <w:rPr>
            <w:rStyle w:val="Hyperlink"/>
          </w:rPr>
          <w:t>http://www.microsoft.com/technet/prodtechnol/sql/bestpractice/pdpliobp.mspx</w:t>
        </w:r>
      </w:hyperlink>
    </w:p>
    <w:p w:rsidR="004761E9" w:rsidRDefault="00553A7A" w:rsidP="004761E9">
      <w:pPr>
        <w:pStyle w:val="NormalWeb"/>
        <w:numPr>
          <w:ilvl w:val="0"/>
          <w:numId w:val="10"/>
        </w:numPr>
      </w:pPr>
      <w:hyperlink r:id="rId10"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553A7A" w:rsidP="00AF40C5">
      <w:hyperlink r:id="rId11" w:history="1">
        <w:r w:rsidR="004652A2">
          <w:rPr>
            <w:rStyle w:val="Hyperlink"/>
          </w:rPr>
          <w:t>S:\Groups\Source\Microsoft\RebootScheduleFiles\</w:t>
        </w:r>
      </w:hyperlink>
    </w:p>
    <w:p w:rsidR="00AF40C5" w:rsidRDefault="00AF40C5" w:rsidP="00AF40C5">
      <w:r>
        <w:t>IHP Path:</w:t>
      </w:r>
    </w:p>
    <w:p w:rsidR="00AF40C5" w:rsidRDefault="00553A7A" w:rsidP="00AF40C5">
      <w:hyperlink r:id="rId12"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3"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lastRenderedPageBreak/>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lastRenderedPageBreak/>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t>egmon</w:t>
      </w:r>
    </w:p>
    <w:p w:rsidR="00D3026A" w:rsidRDefault="00D3026A" w:rsidP="00D3026A">
      <w:r>
        <w:t>eg – type into web broswer to bring up eg login screen</w:t>
      </w:r>
    </w:p>
    <w:p w:rsidR="00D3026A" w:rsidRDefault="00F30EA7" w:rsidP="00D3026A">
      <w:r>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lastRenderedPageBreak/>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t>On PC – in server manager go to features and add failover clustering</w:t>
      </w:r>
    </w:p>
    <w:p w:rsidR="001A35FC" w:rsidRDefault="001A35FC" w:rsidP="001A35FC">
      <w:r>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lastRenderedPageBreak/>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553A7A" w:rsidP="0029798C">
      <w:hyperlink r:id="rId14" w:history="1">
        <w:r w:rsidR="0029798C">
          <w:rPr>
            <w:rStyle w:val="Hyperlink"/>
          </w:rPr>
          <w:t>http://oaintsccmc/smsreporting/Report.asp?ReportID=280&amp;DEPLOYMENTID=%7BEA675F80-02A9-41A8-A69E-08F7015E9EB8%7D</w:t>
        </w:r>
      </w:hyperlink>
    </w:p>
    <w:p w:rsidR="0029798C" w:rsidRDefault="00553A7A" w:rsidP="0029798C">
      <w:hyperlink r:id="rId15"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553A7A" w:rsidP="00D3026A">
      <w:pPr>
        <w:rPr>
          <w:color w:val="0000FF"/>
          <w:u w:val="single"/>
        </w:rPr>
      </w:pPr>
      <w:hyperlink r:id="rId16"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lastRenderedPageBreak/>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17"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lastRenderedPageBreak/>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553A7A" w:rsidP="007B0C83">
      <w:hyperlink r:id="rId18"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lastRenderedPageBreak/>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553A7A" w:rsidP="008910E7">
      <w:hyperlink r:id="rId19"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0"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lastRenderedPageBreak/>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lastRenderedPageBreak/>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lastRenderedPageBreak/>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lastRenderedPageBreak/>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553A7A" w:rsidP="00EC2811">
      <w:pPr>
        <w:rPr>
          <w:color w:val="1F497D"/>
        </w:rPr>
      </w:pPr>
      <w:hyperlink r:id="rId21" w:history="1">
        <w:r w:rsidR="00EC2811">
          <w:rPr>
            <w:rStyle w:val="Hyperlink"/>
          </w:rPr>
          <w:t>https://certreq.ssfhs.org/certsrv</w:t>
        </w:r>
      </w:hyperlink>
    </w:p>
    <w:p w:rsidR="007F5B45" w:rsidRDefault="007F5B45" w:rsidP="00EC2811">
      <w:r>
        <w:rPr>
          <w:color w:val="1F497D"/>
        </w:rPr>
        <w:t xml:space="preserve">hostname assigned to service, </w:t>
      </w:r>
      <w:hyperlink r:id="rId22"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t>Archive location:</w:t>
      </w:r>
    </w:p>
    <w:p w:rsidR="00DE458D" w:rsidRDefault="00553A7A" w:rsidP="003B2B45">
      <w:pPr>
        <w:tabs>
          <w:tab w:val="left" w:pos="270"/>
        </w:tabs>
      </w:pPr>
      <w:hyperlink r:id="rId23"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553A7A" w:rsidP="00013E0F">
      <w:pPr>
        <w:rPr>
          <w:rFonts w:ascii="Trebuchet MS" w:hAnsi="Trebuchet MS"/>
          <w:sz w:val="20"/>
          <w:szCs w:val="20"/>
        </w:rPr>
      </w:pPr>
      <w:hyperlink r:id="rId24"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5"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lastRenderedPageBreak/>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553A7A" w:rsidP="006B7C17">
      <w:pPr>
        <w:spacing w:after="0" w:line="240" w:lineRule="auto"/>
      </w:pPr>
      <w:hyperlink r:id="rId26"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553A7A" w:rsidP="00F971BE">
      <w:hyperlink r:id="rId27"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553A7A" w:rsidP="00F971BE">
      <w:hyperlink r:id="rId28" w:history="1">
        <w:r w:rsidR="00F971BE">
          <w:rPr>
            <w:rStyle w:val="Hyperlink"/>
          </w:rPr>
          <w:t>\\ssfhs\enterprise\CPM2k3</w:t>
        </w:r>
      </w:hyperlink>
    </w:p>
    <w:p w:rsidR="00F971BE" w:rsidRDefault="00553A7A" w:rsidP="00F971BE">
      <w:hyperlink r:id="rId29"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553A7A" w:rsidP="00A51822">
      <w:hyperlink r:id="rId30"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553A7A" w:rsidP="000F758F">
      <w:hyperlink r:id="rId31" w:history="1">
        <w:r w:rsidR="000F758F">
          <w:rPr>
            <w:rStyle w:val="Hyperlink"/>
          </w:rPr>
          <w:t>http://support.microsoft.com/kb/929491</w:t>
        </w:r>
      </w:hyperlink>
    </w:p>
    <w:p w:rsidR="000F758F" w:rsidRDefault="00553A7A" w:rsidP="000F758F">
      <w:hyperlink r:id="rId32" w:history="1">
        <w:r w:rsidR="000F758F">
          <w:rPr>
            <w:rStyle w:val="Hyperlink"/>
          </w:rPr>
          <w:t>http://clariionblogs.blogspot.com/2008/02/disk-alignment.html</w:t>
        </w:r>
      </w:hyperlink>
    </w:p>
    <w:p w:rsidR="000F758F" w:rsidRDefault="00553A7A" w:rsidP="000F758F">
      <w:pPr>
        <w:rPr>
          <w:rStyle w:val="Hyperlink"/>
        </w:rPr>
      </w:pPr>
      <w:hyperlink r:id="rId33"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lastRenderedPageBreak/>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lastRenderedPageBreak/>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34"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553A7A" w:rsidP="000F758F">
      <w:hyperlink r:id="rId35"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lastRenderedPageBreak/>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553A7A" w:rsidP="000F758F">
      <w:hyperlink r:id="rId36"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37" w:history="1">
        <w:r>
          <w:rPr>
            <w:rStyle w:val="Hyperlink"/>
          </w:rPr>
          <w:t>emerginsuite@usamobility.net</w:t>
        </w:r>
      </w:hyperlink>
    </w:p>
    <w:p w:rsidR="0022467F" w:rsidRDefault="0022467F" w:rsidP="0022467F">
      <w:r>
        <w:lastRenderedPageBreak/>
        <w:t xml:space="preserve">new pager info: </w:t>
      </w:r>
      <w:hyperlink r:id="rId38"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553A7A" w:rsidP="00E86668">
      <w:pPr>
        <w:rPr>
          <w:color w:val="1F497D"/>
        </w:rPr>
      </w:pPr>
      <w:hyperlink r:id="rId39"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0"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1"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lastRenderedPageBreak/>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46028A"/>
    <w:multiLevelType w:val="hybridMultilevel"/>
    <w:tmpl w:val="876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22"/>
  </w:num>
  <w:num w:numId="4">
    <w:abstractNumId w:val="30"/>
  </w:num>
  <w:num w:numId="5">
    <w:abstractNumId w:val="16"/>
  </w:num>
  <w:num w:numId="6">
    <w:abstractNumId w:val="12"/>
  </w:num>
  <w:num w:numId="7">
    <w:abstractNumId w:val="31"/>
  </w:num>
  <w:num w:numId="8">
    <w:abstractNumId w:val="20"/>
  </w:num>
  <w:num w:numId="9">
    <w:abstractNumId w:val="25"/>
  </w:num>
  <w:num w:numId="10">
    <w:abstractNumId w:val="24"/>
  </w:num>
  <w:num w:numId="11">
    <w:abstractNumId w:val="0"/>
  </w:num>
  <w:num w:numId="12">
    <w:abstractNumId w:val="6"/>
  </w:num>
  <w:num w:numId="13">
    <w:abstractNumId w:val="9"/>
  </w:num>
  <w:num w:numId="14">
    <w:abstractNumId w:val="2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4"/>
  </w:num>
  <w:num w:numId="18">
    <w:abstractNumId w:val="23"/>
  </w:num>
  <w:num w:numId="19">
    <w:abstractNumId w:val="26"/>
  </w:num>
  <w:num w:numId="20">
    <w:abstractNumId w:val="1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2"/>
    <w:lvlOverride w:ilvl="1">
      <w:lvl w:ilvl="1">
        <w:numFmt w:val="lowerLetter"/>
        <w:lvlText w:val="%2."/>
        <w:lvlJc w:val="left"/>
      </w:lvl>
    </w:lvlOverride>
  </w:num>
  <w:num w:numId="27">
    <w:abstractNumId w:val="32"/>
    <w:lvlOverride w:ilvl="1">
      <w:lvl w:ilvl="1">
        <w:numFmt w:val="lowerLetter"/>
        <w:lvlText w:val="%2."/>
        <w:lvlJc w:val="left"/>
      </w:lvl>
    </w:lvlOverride>
  </w:num>
  <w:num w:numId="28">
    <w:abstractNumId w:val="10"/>
  </w:num>
  <w:num w:numId="29">
    <w:abstractNumId w:val="1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3C83"/>
    <w:rsid w:val="002C74FE"/>
    <w:rsid w:val="002F41EF"/>
    <w:rsid w:val="00320B8D"/>
    <w:rsid w:val="003218DD"/>
    <w:rsid w:val="00322E9E"/>
    <w:rsid w:val="00323691"/>
    <w:rsid w:val="00341CA5"/>
    <w:rsid w:val="00367BA3"/>
    <w:rsid w:val="0037342B"/>
    <w:rsid w:val="00376906"/>
    <w:rsid w:val="00376E8E"/>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3A7A"/>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E3D6E"/>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43DF0"/>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665B5"/>
    <w:rsid w:val="00E76664"/>
    <w:rsid w:val="00E77D90"/>
    <w:rsid w:val="00E77E8A"/>
    <w:rsid w:val="00E8013D"/>
    <w:rsid w:val="00E86668"/>
    <w:rsid w:val="00E96572"/>
    <w:rsid w:val="00EA0085"/>
    <w:rsid w:val="00EA5946"/>
    <w:rsid w:val="00EB427C"/>
    <w:rsid w:val="00EB6CBF"/>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20000.www2.hp.com/bizsupport/TechSupport/WarrantyLookup.jsp?country=US&amp;prodSeriesId=397638&amp;prodTypeId=15351" TargetMode="External"/><Relationship Id="rId13" Type="http://schemas.openxmlformats.org/officeDocument/2006/relationships/hyperlink" Target="file:///S:\Groups\Source\Microsoft\RebootScheduleFiles\" TargetMode="External"/><Relationship Id="rId18" Type="http://schemas.openxmlformats.org/officeDocument/2006/relationships/hyperlink" Target="https://www.myssfhs.org/vpn.htm" TargetMode="External"/><Relationship Id="rId26" Type="http://schemas.openxmlformats.org/officeDocument/2006/relationships/hyperlink" Target="http://excel2wiki.net/index.php" TargetMode="External"/><Relationship Id="rId39" Type="http://schemas.openxmlformats.org/officeDocument/2006/relationships/hyperlink" Target="http://www.cascade-assets.com/franciscan/" TargetMode="External"/><Relationship Id="rId3" Type="http://schemas.openxmlformats.org/officeDocument/2006/relationships/styles" Target="styles.xml"/><Relationship Id="rId21" Type="http://schemas.openxmlformats.org/officeDocument/2006/relationships/hyperlink" Target="https://certreq.ssfhs.org/certsrv" TargetMode="External"/><Relationship Id="rId34" Type="http://schemas.openxmlformats.org/officeDocument/2006/relationships/hyperlink" Target="mailto:mbswellness@franciscanalliance.org" TargetMode="External"/><Relationship Id="rId42" Type="http://schemas.openxmlformats.org/officeDocument/2006/relationships/fontTable" Target="fontTable.xml"/><Relationship Id="rId7" Type="http://schemas.openxmlformats.org/officeDocument/2006/relationships/hyperlink" Target="file:///\\ssfhs\enterprise\CitrixApps\Heat\Alert\L3Win" TargetMode="External"/><Relationship Id="rId12" Type="http://schemas.openxmlformats.org/officeDocument/2006/relationships/hyperlink" Target="file:///\\ihpsrv13\Installation\RebootScheduleFiles" TargetMode="External"/><Relationship Id="rId17" Type="http://schemas.openxmlformats.org/officeDocument/2006/relationships/hyperlink" Target="https://my.ssfhs.org/heatmobile" TargetMode="External"/><Relationship Id="rId25" Type="http://schemas.openxmlformats.org/officeDocument/2006/relationships/hyperlink" Target="https://oaintsim1:50000" TargetMode="External"/><Relationship Id="rId33" Type="http://schemas.openxmlformats.org/officeDocument/2006/relationships/hyperlink" Target="http://www.tcpdump.com/kb/os/windows/disk-alignment/into.html" TargetMode="External"/><Relationship Id="rId38" Type="http://schemas.openxmlformats.org/officeDocument/2006/relationships/hyperlink" Target="mailto:message_notification@usamobility.net" TargetMode="External"/><Relationship Id="rId2" Type="http://schemas.openxmlformats.org/officeDocument/2006/relationships/numbering" Target="numbering.xml"/><Relationship Id="rId16" Type="http://schemas.openxmlformats.org/officeDocument/2006/relationships/hyperlink" Target="file:///\\oaintfile2\shared\Groups\Infrastructure\SCCM_Patching\Process" TargetMode="External"/><Relationship Id="rId20" Type="http://schemas.openxmlformats.org/officeDocument/2006/relationships/hyperlink" Target="file:///\\ssfhs\sysvol\ssfhs.org\scripts" TargetMode="External"/><Relationship Id="rId29" Type="http://schemas.openxmlformats.org/officeDocument/2006/relationships/hyperlink" Target="file:///\\ssfhs\enterprise\CPM2k8" TargetMode="External"/><Relationship Id="rId41" Type="http://schemas.openxmlformats.org/officeDocument/2006/relationships/hyperlink" Target="http://en.wikipedia.org/wiki/IPv4" TargetMode="External"/><Relationship Id="rId1" Type="http://schemas.openxmlformats.org/officeDocument/2006/relationships/customXml" Target="../customXml/item1.xml"/><Relationship Id="rId6" Type="http://schemas.openxmlformats.org/officeDocument/2006/relationships/hyperlink" Target="https://10.90.39.252/auth.asp" TargetMode="External"/><Relationship Id="rId11" Type="http://schemas.openxmlformats.org/officeDocument/2006/relationships/hyperlink" Target="file:///S:\Groups\Source\Microsoft\RebootScheduleFiles\" TargetMode="External"/><Relationship Id="rId24" Type="http://schemas.openxmlformats.org/officeDocument/2006/relationships/hyperlink" Target="file:///\\ssfhs\shared\OShared\Groups\Source\Microsoft\Hotfixes\" TargetMode="External"/><Relationship Id="rId32" Type="http://schemas.openxmlformats.org/officeDocument/2006/relationships/hyperlink" Target="http://clariionblogs.blogspot.com/2008/02/disk-alignment.html" TargetMode="External"/><Relationship Id="rId37" Type="http://schemas.openxmlformats.org/officeDocument/2006/relationships/hyperlink" Target="mailto:emerginsuite@usamobility.net" TargetMode="External"/><Relationship Id="rId40" Type="http://schemas.openxmlformats.org/officeDocument/2006/relationships/hyperlink" Target="file:///\\oaintfile2\shared\Groups\Infrastructure\EpicCitrixServers" TargetMode="External"/><Relationship Id="rId5" Type="http://schemas.openxmlformats.org/officeDocument/2006/relationships/webSettings" Target="webSettings.xml"/><Relationship Id="rId15" Type="http://schemas.openxmlformats.org/officeDocument/2006/relationships/hyperlink" Target="http://oaintsccmc/smsreporting/" TargetMode="External"/><Relationship Id="rId23" Type="http://schemas.openxmlformats.org/officeDocument/2006/relationships/hyperlink" Target="file:///\\ssfhs\archive\" TargetMode="External"/><Relationship Id="rId28" Type="http://schemas.openxmlformats.org/officeDocument/2006/relationships/hyperlink" Target="file:///\\ssfhs\enterprise\CPM2k3" TargetMode="External"/><Relationship Id="rId36" Type="http://schemas.openxmlformats.org/officeDocument/2006/relationships/hyperlink" Target="file:///\\oaintent1\shared\Groups\IntResoures\AIS\HR\InterviewGuides" TargetMode="External"/><Relationship Id="rId10" Type="http://schemas.openxmlformats.org/officeDocument/2006/relationships/hyperlink" Target="http://support.microsoft.com/default.aspx?scid=kb;EN-US;929491" TargetMode="External"/><Relationship Id="rId19" Type="http://schemas.openxmlformats.org/officeDocument/2006/relationships/hyperlink" Target="file:///\\ssfhs\shared\oshared\Groups\Infrastructure\documentation\Server%20removal%20list.xls" TargetMode="External"/><Relationship Id="rId31" Type="http://schemas.openxmlformats.org/officeDocument/2006/relationships/hyperlink" Target="http://support.microsoft.com/kb/929491" TargetMode="External"/><Relationship Id="rId4" Type="http://schemas.openxmlformats.org/officeDocument/2006/relationships/settings" Target="settings.xml"/><Relationship Id="rId9" Type="http://schemas.openxmlformats.org/officeDocument/2006/relationships/hyperlink" Target="http://www.microsoft.com/technet/prodtechnol/sql/bestpractice/pdpliobp.mspx" TargetMode="External"/><Relationship Id="rId14" Type="http://schemas.openxmlformats.org/officeDocument/2006/relationships/hyperlink" Target="http://oaintsccmc/smsreporting/Report.asp?ReportID=280&amp;DEPLOYMENTID=%7BEA675F80-02A9-41A8-A69E-08F7015E9EB8%7D" TargetMode="External"/><Relationship Id="rId22" Type="http://schemas.openxmlformats.org/officeDocument/2006/relationships/hyperlink" Target="http://report42.ssfhs.org" TargetMode="External"/><Relationship Id="rId27" Type="http://schemas.openxmlformats.org/officeDocument/2006/relationships/hyperlink" Target="file:///\\ssfhs\enterprise\Profiles\Profile" TargetMode="External"/><Relationship Id="rId30" Type="http://schemas.openxmlformats.org/officeDocument/2006/relationships/hyperlink" Target="file:///\\oaintsec2\va_remediation\VA_NonPCI\InternalScanResults\Intranet\Datacenter\SCCM_Servers" TargetMode="External"/><Relationship Id="rId35" Type="http://schemas.openxmlformats.org/officeDocument/2006/relationships/hyperlink" Target="file:///\\Oaintent1\Shared\Groups\DR%20Plans\Non%20Standard%20DR%20Plan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861C1-8A06-4E9D-B540-EC950CC7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28</Pages>
  <Words>5592</Words>
  <Characters>31880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6</cp:revision>
  <dcterms:created xsi:type="dcterms:W3CDTF">2014-11-24T13:03:00Z</dcterms:created>
  <dcterms:modified xsi:type="dcterms:W3CDTF">2015-04-03T21:35:00Z</dcterms:modified>
</cp:coreProperties>
</file>