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02001893"/>
        <w:docPartObj>
          <w:docPartGallery w:val="Cover Pages"/>
          <w:docPartUnique/>
        </w:docPartObj>
      </w:sdtPr>
      <w:sdtContent>
        <w:p w14:paraId="06389563" w14:textId="46363B27" w:rsidR="007E6F2F" w:rsidRDefault="007E6F2F" w:rsidP="0016404F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C7996F" wp14:editId="5B56171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7A6706" id="群組 50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C003B4" wp14:editId="315AD5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字方塊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E6F58A9" w14:textId="438DD4C3" w:rsidR="007E6F2F" w:rsidRDefault="007E6F2F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7E6F2F">
                                      <w:rPr>
                                        <w:rFonts w:ascii="Times New Roman" w:eastAsia="標楷體" w:hAnsi="Times New Roman" w:cs="Times New Roman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中央大學</w:t>
                                    </w:r>
                                    <w:r w:rsidRPr="007E6F2F">
                                      <w:rPr>
                                        <w:rFonts w:ascii="Times New Roman" w:eastAsia="標楷體" w:hAnsi="Times New Roman" w:cs="Times New Roman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MIAT</w:t>
                                    </w:r>
                                    <w:r w:rsidRPr="007E6F2F">
                                      <w:rPr>
                                        <w:rFonts w:ascii="Times New Roman" w:eastAsia="標楷體" w:hAnsi="Times New Roman" w:cs="Times New Roman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實驗室</w:t>
                                    </w:r>
                                  </w:p>
                                </w:sdtContent>
                              </w:sdt>
                              <w:p w14:paraId="70A93929" w14:textId="21EBFF1A" w:rsidR="007E6F2F" w:rsidRDefault="007E6F2F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電子郵件"/>
                                    <w:tag w:val="電子郵件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7E6F2F">
                                      <w:rPr>
                                        <w:rFonts w:ascii="標楷體" w:eastAsia="標楷體" w:hAnsi="標楷體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鄧祺文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0C003B4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1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E6F58A9" w14:textId="438DD4C3" w:rsidR="007E6F2F" w:rsidRDefault="007E6F2F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7E6F2F">
                                <w:rPr>
                                  <w:rFonts w:ascii="Times New Roman" w:eastAsia="標楷體" w:hAnsi="Times New Roman" w:cs="Times New Roman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中央大學</w:t>
                              </w:r>
                              <w:r w:rsidRPr="007E6F2F">
                                <w:rPr>
                                  <w:rFonts w:ascii="Times New Roman" w:eastAsia="標楷體" w:hAnsi="Times New Roman" w:cs="Times New Roman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MIAT</w:t>
                              </w:r>
                              <w:r w:rsidRPr="007E6F2F">
                                <w:rPr>
                                  <w:rFonts w:ascii="Times New Roman" w:eastAsia="標楷體" w:hAnsi="Times New Roman" w:cs="Times New Roman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實驗室</w:t>
                              </w:r>
                            </w:p>
                          </w:sdtContent>
                        </w:sdt>
                        <w:p w14:paraId="70A93929" w14:textId="21EBFF1A" w:rsidR="007E6F2F" w:rsidRDefault="007E6F2F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電子郵件"/>
                              <w:tag w:val="電子郵件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7E6F2F">
                                <w:rPr>
                                  <w:rFonts w:ascii="標楷體" w:eastAsia="標楷體" w:hAnsi="標楷體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鄧祺文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363D60" wp14:editId="298826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5502AB" w14:textId="61F4A287" w:rsidR="007E6F2F" w:rsidRDefault="007E6F2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7E6F2F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IMG &amp; PDF OCR WEBUI</w:t>
                                    </w:r>
                                  </w:sdtContent>
                                </w:sdt>
                              </w:p>
                              <w:p w14:paraId="26541431" w14:textId="7702E561" w:rsidR="007E6F2F" w:rsidRDefault="007E6F2F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7E6F2F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技術手冊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363D60" id="文字方塊 53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65502AB" w14:textId="61F4A287" w:rsidR="007E6F2F" w:rsidRDefault="007E6F2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7E6F2F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64"/>
                                  <w:szCs w:val="64"/>
                                </w:rPr>
                                <w:t>IMG &amp; PDF OCR WEBUI</w:t>
                              </w:r>
                            </w:sdtContent>
                          </w:sdt>
                        </w:p>
                        <w:p w14:paraId="26541431" w14:textId="7702E561" w:rsidR="007E6F2F" w:rsidRDefault="007E6F2F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7E6F2F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技術手冊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9C5B3FC" w14:textId="74521202" w:rsidR="007E6F2F" w:rsidRDefault="007E6F2F" w:rsidP="0016404F">
          <w:pPr>
            <w:widowControl/>
            <w:jc w:val="both"/>
          </w:pPr>
          <w:r>
            <w:br w:type="page"/>
          </w:r>
        </w:p>
      </w:sdtContent>
    </w:sdt>
    <w:p w14:paraId="0D5D1E7A" w14:textId="0738ABDC" w:rsidR="007D41DC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系統設計架構</w:t>
      </w:r>
    </w:p>
    <w:p w14:paraId="7CE16D61" w14:textId="77777777" w:rsidR="00BB09CE" w:rsidRPr="00BB09CE" w:rsidRDefault="00BB09CE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 w:hint="eastAsia"/>
          <w:sz w:val="28"/>
          <w:szCs w:val="28"/>
        </w:rPr>
      </w:pPr>
    </w:p>
    <w:p w14:paraId="5B0E82FD" w14:textId="21447100" w:rsidR="007D41DC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辨識模型</w:t>
      </w:r>
    </w:p>
    <w:p w14:paraId="1FAD8D06" w14:textId="77777777" w:rsidR="006373FA" w:rsidRDefault="006373FA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論文主題：</w:t>
      </w:r>
    </w:p>
    <w:p w14:paraId="0663969E" w14:textId="096580E8" w:rsidR="006373FA" w:rsidRDefault="006373FA" w:rsidP="0016404F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6373FA">
        <w:rPr>
          <w:rFonts w:ascii="Times New Roman" w:eastAsia="標楷體" w:hAnsi="Times New Roman" w:cs="Times New Roman"/>
          <w:sz w:val="28"/>
          <w:szCs w:val="28"/>
        </w:rPr>
        <w:t>SVTR: Scene Text Recognition with a Single Visual Model</w:t>
      </w:r>
    </w:p>
    <w:p w14:paraId="28543B41" w14:textId="77777777" w:rsidR="006373FA" w:rsidRDefault="006373FA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論文地址：</w:t>
      </w:r>
    </w:p>
    <w:p w14:paraId="0A9753E8" w14:textId="0B55C24C" w:rsidR="00BB09CE" w:rsidRPr="006373FA" w:rsidRDefault="006373FA" w:rsidP="0016404F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hyperlink r:id="rId8" w:history="1">
        <w:r w:rsidRPr="004862B1">
          <w:rPr>
            <w:rStyle w:val="a6"/>
            <w:rFonts w:ascii="Times New Roman" w:eastAsia="標楷體" w:hAnsi="Times New Roman" w:cs="Times New Roman"/>
            <w:sz w:val="28"/>
            <w:szCs w:val="28"/>
          </w:rPr>
          <w:t>https://arxiv.org/abs/2205.00159</w:t>
        </w:r>
      </w:hyperlink>
    </w:p>
    <w:p w14:paraId="34060F79" w14:textId="705DC0FE" w:rsidR="006373FA" w:rsidRPr="006373FA" w:rsidRDefault="006373FA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模型代碼開源地址：</w:t>
      </w:r>
    </w:p>
    <w:p w14:paraId="783632D7" w14:textId="0E44DD42" w:rsidR="006373FA" w:rsidRPr="006373FA" w:rsidRDefault="006373FA" w:rsidP="0016404F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hyperlink r:id="rId9" w:history="1">
        <w:r w:rsidRPr="004862B1">
          <w:rPr>
            <w:rStyle w:val="a6"/>
            <w:rFonts w:ascii="Times New Roman" w:eastAsia="標楷體" w:hAnsi="Times New Roman" w:cs="Times New Roman"/>
            <w:sz w:val="28"/>
            <w:szCs w:val="28"/>
          </w:rPr>
          <w:t>https://github.com/PaddlePaddle/PaddleOCR</w:t>
        </w:r>
      </w:hyperlink>
    </w:p>
    <w:p w14:paraId="465636B5" w14:textId="49E5B039" w:rsidR="006373FA" w:rsidRDefault="00142F63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技術簡介：</w:t>
      </w:r>
    </w:p>
    <w:p w14:paraId="0565834A" w14:textId="302E96A8" w:rsidR="00142F63" w:rsidRDefault="0016404F" w:rsidP="0016404F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16404F">
        <w:rPr>
          <w:rFonts w:ascii="標楷體" w:eastAsia="標楷體" w:hAnsi="標楷體" w:hint="eastAsia"/>
          <w:sz w:val="28"/>
          <w:szCs w:val="28"/>
        </w:rPr>
        <w:t>場景文字識別可以看作是一個從圖像映射到序列的任務。大多數的識別算法通常由兩個模塊構成，即用於特征提取的視覺模塊以及用於文本輸出的序列模塊。比如早期基於CNN-RNN的CRNN[1]，和現在一些基於注意力機制，進行自回歸式解碼的算法。但是這樣的雙階段算法的推理速度往往較慢，難以滿足工業應用的需求。因此本文從推理速度和模型性能的雙重角度出發，提出了只由Transformer構成的純視覺模塊網絡SVTR，在NVIDIA 1080Ti GPU上達到了 4.5 ms的推理速度，並且參數量僅有6.03M。</w:t>
      </w:r>
    </w:p>
    <w:p w14:paraId="6A007432" w14:textId="60B92CB7" w:rsidR="00C617AF" w:rsidRDefault="00C617AF" w:rsidP="00C617AF">
      <w:pPr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 w:rsidRPr="00C617AF">
        <w:rPr>
          <w:rFonts w:ascii="標楷體" w:eastAsia="標楷體" w:hAnsi="標楷體"/>
          <w:sz w:val="28"/>
          <w:szCs w:val="28"/>
        </w:rPr>
        <w:lastRenderedPageBreak/>
        <w:drawing>
          <wp:inline distT="0" distB="0" distL="0" distR="0" wp14:anchorId="6F464556" wp14:editId="1812131F">
            <wp:extent cx="5274310" cy="2480310"/>
            <wp:effectExtent l="0" t="0" r="2540" b="0"/>
            <wp:docPr id="1812559843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B771" w14:textId="20AC4900" w:rsidR="00C617AF" w:rsidRDefault="00C617AF" w:rsidP="00C617AF">
      <w:pPr>
        <w:jc w:val="both"/>
        <w:rPr>
          <w:rFonts w:ascii="標楷體" w:eastAsia="標楷體" w:hAnsi="標楷體"/>
          <w:sz w:val="28"/>
          <w:szCs w:val="28"/>
        </w:rPr>
      </w:pPr>
      <w:r w:rsidRPr="00C617AF">
        <w:rPr>
          <w:rFonts w:ascii="標楷體" w:eastAsia="標楷體" w:hAnsi="標楷體" w:hint="eastAsia"/>
          <w:sz w:val="28"/>
          <w:szCs w:val="28"/>
        </w:rPr>
        <w:t>圖2是這篇文章提出的SVTR的整體結構，采用類似於SwinTransformer[2]的視覺模型和一個全連接層以及CTC解碼器進行文本序列預測。</w:t>
      </w:r>
    </w:p>
    <w:p w14:paraId="22A92449" w14:textId="1DF001B4" w:rsidR="00C617AF" w:rsidRDefault="00C617AF" w:rsidP="00C617AF">
      <w:pPr>
        <w:jc w:val="both"/>
        <w:rPr>
          <w:rFonts w:ascii="標楷體" w:eastAsia="標楷體" w:hAnsi="標楷體"/>
          <w:sz w:val="28"/>
          <w:szCs w:val="28"/>
        </w:rPr>
      </w:pPr>
      <w:r w:rsidRPr="00C617AF">
        <w:rPr>
          <w:rFonts w:ascii="標楷體" w:eastAsia="標楷體" w:hAnsi="標楷體" w:hint="eastAsia"/>
          <w:sz w:val="28"/>
          <w:szCs w:val="28"/>
        </w:rPr>
        <w:t>首先和ViT[3]類似，將輸入尺寸為</w:t>
      </w:r>
      <w:r w:rsidRPr="00C617AF">
        <w:rPr>
          <w:rFonts w:ascii="標楷體" w:eastAsia="標楷體" w:hAnsi="標楷體"/>
          <w:sz w:val="28"/>
          <w:szCs w:val="28"/>
        </w:rPr>
        <w:drawing>
          <wp:inline distT="0" distB="0" distL="0" distR="0" wp14:anchorId="1AEBE9B3" wp14:editId="5B67BB65">
            <wp:extent cx="1544320" cy="344805"/>
            <wp:effectExtent l="0" t="0" r="0" b="0"/>
            <wp:docPr id="100238804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7AF">
        <w:rPr>
          <w:rFonts w:ascii="標楷體" w:eastAsia="標楷體" w:hAnsi="標楷體" w:hint="eastAsia"/>
          <w:sz w:val="28"/>
          <w:szCs w:val="28"/>
        </w:rPr>
        <w:t xml:space="preserve">圖像按照Patch進行劃分, 得到 </w:t>
      </w:r>
      <w:r w:rsidRPr="00C617AF">
        <w:rPr>
          <w:rFonts w:ascii="標楷體" w:eastAsia="標楷體" w:hAnsi="標楷體"/>
          <w:sz w:val="28"/>
          <w:szCs w:val="28"/>
        </w:rPr>
        <w:drawing>
          <wp:inline distT="0" distB="0" distL="0" distR="0" wp14:anchorId="43D5C608" wp14:editId="04BB3BC1">
            <wp:extent cx="1578610" cy="560705"/>
            <wp:effectExtent l="0" t="0" r="2540" b="0"/>
            <wp:docPr id="9663052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7AF">
        <w:rPr>
          <w:rFonts w:ascii="標楷體" w:eastAsia="標楷體" w:hAnsi="標楷體" w:hint="eastAsia"/>
          <w:sz w:val="28"/>
          <w:szCs w:val="28"/>
        </w:rPr>
        <w:t xml:space="preserve"> Embeddings。本文采用的Patch Embedding操作和ViT中的有些許差異，其由兩層步距為2，卷積核大小為卷積層3X3，以及BN層構成。這樣不同的Patch之間是存在著重疊的，如圖3所示。經過Patch Embedding後的序列將經過一系列的Stage，每一個Stage都由一系列的Mixing Block和Merging Layer構成。</w:t>
      </w:r>
    </w:p>
    <w:p w14:paraId="67329C91" w14:textId="15167BF6" w:rsidR="00B82572" w:rsidRDefault="00B82572" w:rsidP="00C617AF">
      <w:pPr>
        <w:jc w:val="both"/>
        <w:rPr>
          <w:rFonts w:ascii="標楷體" w:eastAsia="標楷體" w:hAnsi="標楷體"/>
          <w:sz w:val="28"/>
          <w:szCs w:val="28"/>
        </w:rPr>
      </w:pPr>
      <w:r w:rsidRPr="00B82572">
        <w:rPr>
          <w:rFonts w:ascii="標楷體" w:eastAsia="標楷體" w:hAnsi="標楷體"/>
          <w:sz w:val="28"/>
          <w:szCs w:val="28"/>
        </w:rPr>
        <w:lastRenderedPageBreak/>
        <w:drawing>
          <wp:inline distT="0" distB="0" distL="0" distR="0" wp14:anchorId="3A0E3AB3" wp14:editId="475067B7">
            <wp:extent cx="5274310" cy="3554730"/>
            <wp:effectExtent l="0" t="0" r="2540" b="7620"/>
            <wp:docPr id="1323008250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134E" w14:textId="3A7B457B" w:rsidR="00B82572" w:rsidRDefault="00B82572" w:rsidP="00C617AF">
      <w:pPr>
        <w:jc w:val="both"/>
        <w:rPr>
          <w:rFonts w:ascii="標楷體" w:eastAsia="標楷體" w:hAnsi="標楷體"/>
          <w:sz w:val="28"/>
          <w:szCs w:val="28"/>
        </w:rPr>
      </w:pPr>
      <w:r w:rsidRPr="00B82572">
        <w:rPr>
          <w:rFonts w:ascii="標楷體" w:eastAsia="標楷體" w:hAnsi="標楷體" w:hint="eastAsia"/>
          <w:sz w:val="28"/>
          <w:szCs w:val="28"/>
        </w:rPr>
        <w:t>作者認為文本識別需要兩種特征。第一種是局部特征，如筆畫特征。它編碼了字符的不同部分之間的形態特征和相關性。第二種是字符間的依賴性，如不同字符之間或文字與非文字成分之間的相關性。因此，作者設計了兩個混合模塊，即 Global Mixing 和 Local Mixing， 通過使用不同大小感受野的自注意層來實現。如圖4 所示。Global Mixing層本質上就是一個Transformer block，由一個多頭自注意層，一個Layer Norm 層，以及一個MLP層構成。通過自注意力機制的全局建模特性來進行全局字符建模。Local Mixing則是采用了帶窗的自注意層，窗大小設置為了</w:t>
      </w:r>
      <w:r w:rsidRPr="00B82572">
        <w:rPr>
          <w:rFonts w:ascii="標楷體" w:eastAsia="標楷體" w:hAnsi="標楷體"/>
          <w:sz w:val="28"/>
          <w:szCs w:val="28"/>
        </w:rPr>
        <w:drawing>
          <wp:inline distT="0" distB="0" distL="0" distR="0" wp14:anchorId="5433D601" wp14:editId="1556B570">
            <wp:extent cx="948690" cy="353695"/>
            <wp:effectExtent l="0" t="0" r="3810" b="8255"/>
            <wp:docPr id="192962036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7B02" w14:textId="0CA43C75" w:rsidR="00B82572" w:rsidRDefault="00B82572" w:rsidP="00C617AF">
      <w:pPr>
        <w:jc w:val="both"/>
        <w:rPr>
          <w:rFonts w:ascii="標楷體" w:eastAsia="標楷體" w:hAnsi="標楷體"/>
          <w:sz w:val="28"/>
          <w:szCs w:val="28"/>
        </w:rPr>
      </w:pPr>
      <w:r w:rsidRPr="00B82572">
        <w:rPr>
          <w:rFonts w:ascii="標楷體" w:eastAsia="標楷體" w:hAnsi="標楷體"/>
          <w:sz w:val="28"/>
          <w:szCs w:val="28"/>
        </w:rPr>
        <w:lastRenderedPageBreak/>
        <w:drawing>
          <wp:inline distT="0" distB="0" distL="0" distR="0" wp14:anchorId="07CF1EAF" wp14:editId="41AD4D56">
            <wp:extent cx="5274310" cy="1836420"/>
            <wp:effectExtent l="0" t="0" r="2540" b="0"/>
            <wp:docPr id="55106982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A009" w14:textId="49FB0562" w:rsidR="00C617AF" w:rsidRPr="00C617AF" w:rsidRDefault="00B82572" w:rsidP="00C617AF">
      <w:pPr>
        <w:jc w:val="both"/>
        <w:rPr>
          <w:rFonts w:ascii="標楷體" w:eastAsia="標楷體" w:hAnsi="標楷體" w:hint="eastAsia"/>
          <w:sz w:val="28"/>
          <w:szCs w:val="28"/>
        </w:rPr>
      </w:pPr>
      <w:r w:rsidRPr="00B82572">
        <w:rPr>
          <w:rFonts w:ascii="標楷體" w:eastAsia="標楷體" w:hAnsi="標楷體" w:hint="eastAsia"/>
          <w:sz w:val="28"/>
          <w:szCs w:val="28"/>
        </w:rPr>
        <w:t>Merging層扮演著將輸入序列進行下采樣的角色。其由高度方向步距為2，寬度方向步距為1，卷積核大小為3X3的卷積層構成。將輸入序列的尺寸由</w:t>
      </w:r>
      <w:r w:rsidRPr="00B82572">
        <w:rPr>
          <w:rFonts w:ascii="標楷體" w:eastAsia="標楷體" w:hAnsi="標楷體"/>
          <w:sz w:val="28"/>
          <w:szCs w:val="28"/>
        </w:rPr>
        <w:drawing>
          <wp:inline distT="0" distB="0" distL="0" distR="0" wp14:anchorId="47C08D66" wp14:editId="19EB0BB7">
            <wp:extent cx="1811655" cy="448310"/>
            <wp:effectExtent l="0" t="0" r="0" b="8890"/>
            <wp:docPr id="2126603385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572">
        <w:rPr>
          <w:rFonts w:ascii="標楷體" w:eastAsia="標楷體" w:hAnsi="標楷體" w:hint="eastAsia"/>
          <w:sz w:val="28"/>
          <w:szCs w:val="28"/>
        </w:rPr>
        <w:t>縮小為</w:t>
      </w:r>
      <w:r w:rsidRPr="00B82572">
        <w:rPr>
          <w:rFonts w:ascii="標楷體" w:eastAsia="標楷體" w:hAnsi="標楷體"/>
          <w:sz w:val="28"/>
          <w:szCs w:val="28"/>
        </w:rPr>
        <w:drawing>
          <wp:inline distT="0" distB="0" distL="0" distR="0" wp14:anchorId="13F3342D" wp14:editId="7CE502E6">
            <wp:extent cx="1776730" cy="586740"/>
            <wp:effectExtent l="0" t="0" r="0" b="3810"/>
            <wp:docPr id="1478603313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2572">
        <w:rPr>
          <w:rFonts w:ascii="標楷體" w:eastAsia="標楷體" w:hAnsi="標楷體" w:hint="eastAsia"/>
          <w:sz w:val="28"/>
          <w:szCs w:val="28"/>
        </w:rPr>
        <w:t>。同時每經過一次Merging層，序列的Channel維度也會增大，從而彌補在高度上的信息損失。</w:t>
      </w:r>
    </w:p>
    <w:p w14:paraId="79760CD7" w14:textId="17E0595C" w:rsidR="000260E8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網頁</w:t>
      </w:r>
      <w:r w:rsidR="000260E8">
        <w:rPr>
          <w:rFonts w:ascii="標楷體" w:eastAsia="標楷體" w:hAnsi="標楷體" w:hint="eastAsia"/>
          <w:b/>
          <w:bCs/>
          <w:sz w:val="40"/>
          <w:szCs w:val="36"/>
        </w:rPr>
        <w:t>功能入口</w:t>
      </w:r>
    </w:p>
    <w:p w14:paraId="40D77EE2" w14:textId="77777777" w:rsidR="000260E8" w:rsidRDefault="000260E8" w:rsidP="0016404F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功能入口</w:t>
      </w:r>
    </w:p>
    <w:p w14:paraId="262B685D" w14:textId="3F2E5165" w:rsidR="000260E8" w:rsidRDefault="000260E8" w:rsidP="0016404F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63694DE8" wp14:editId="2AD4C24A">
            <wp:extent cx="5270500" cy="2959100"/>
            <wp:effectExtent l="0" t="0" r="6350" b="0"/>
            <wp:docPr id="154346274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7D77" w14:textId="77777777" w:rsidR="000260E8" w:rsidRDefault="000260E8" w:rsidP="0016404F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上半部選擇框：支持</w:t>
      </w:r>
      <w:r>
        <w:rPr>
          <w:rFonts w:ascii="Times New Roman" w:eastAsia="標楷體" w:hAnsi="Times New Roman" w:cs="Times New Roman"/>
          <w:sz w:val="28"/>
          <w:szCs w:val="24"/>
        </w:rPr>
        <w:t>JPG</w:t>
      </w:r>
      <w:r>
        <w:rPr>
          <w:rFonts w:ascii="標楷體" w:eastAsia="標楷體" w:hAnsi="標楷體" w:hint="eastAsia"/>
          <w:sz w:val="28"/>
          <w:szCs w:val="24"/>
        </w:rPr>
        <w:t>、</w:t>
      </w:r>
      <w:r>
        <w:rPr>
          <w:rFonts w:ascii="Times New Roman" w:eastAsia="標楷體" w:hAnsi="Times New Roman" w:cs="Times New Roman"/>
          <w:sz w:val="28"/>
          <w:szCs w:val="24"/>
        </w:rPr>
        <w:t>JPEG</w:t>
      </w:r>
      <w:r>
        <w:rPr>
          <w:rFonts w:ascii="標楷體" w:eastAsia="標楷體" w:hAnsi="標楷體" w:hint="eastAsia"/>
          <w:sz w:val="28"/>
          <w:szCs w:val="24"/>
        </w:rPr>
        <w:t>、</w:t>
      </w:r>
      <w:r>
        <w:rPr>
          <w:rFonts w:ascii="Times New Roman" w:eastAsia="標楷體" w:hAnsi="Times New Roman" w:cs="Times New Roman"/>
          <w:sz w:val="28"/>
          <w:szCs w:val="24"/>
        </w:rPr>
        <w:t>PNG</w:t>
      </w:r>
    </w:p>
    <w:p w14:paraId="068D3B97" w14:textId="40206924" w:rsidR="000260E8" w:rsidRDefault="000260E8" w:rsidP="0016404F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DE976B" wp14:editId="4124E98C">
            <wp:extent cx="5270500" cy="474345"/>
            <wp:effectExtent l="0" t="0" r="6350" b="1905"/>
            <wp:docPr id="658956489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BEE8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下半部選擇框：支持</w:t>
      </w:r>
      <w:r>
        <w:rPr>
          <w:rFonts w:ascii="Times New Roman" w:eastAsia="標楷體" w:hAnsi="Times New Roman" w:cs="Times New Roman"/>
          <w:sz w:val="28"/>
          <w:szCs w:val="24"/>
        </w:rPr>
        <w:t>PDF</w:t>
      </w:r>
    </w:p>
    <w:p w14:paraId="232FCD2F" w14:textId="1A13627B" w:rsidR="000260E8" w:rsidRDefault="000260E8" w:rsidP="0016404F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B63D16A" wp14:editId="3478D1BF">
            <wp:extent cx="5262245" cy="474345"/>
            <wp:effectExtent l="0" t="0" r="0" b="1905"/>
            <wp:docPr id="212536353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4422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圖像特殊排序：中文直式由右至左（預設標準為由上至下）</w:t>
      </w:r>
    </w:p>
    <w:p w14:paraId="3F45D82B" w14:textId="355C4134" w:rsidR="000260E8" w:rsidRDefault="000260E8" w:rsidP="0016404F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F65BEC7" wp14:editId="422F8DB5">
            <wp:extent cx="4020185" cy="466090"/>
            <wp:effectExtent l="0" t="0" r="0" b="0"/>
            <wp:docPr id="169307678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C15C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成功讀取資料後，可於下方看見處理進度條</w:t>
      </w:r>
    </w:p>
    <w:p w14:paraId="3440DB29" w14:textId="27AD27A5" w:rsidR="000260E8" w:rsidRDefault="000260E8" w:rsidP="0016404F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0D54A805" wp14:editId="238E5DB1">
            <wp:extent cx="5270500" cy="758825"/>
            <wp:effectExtent l="0" t="0" r="6350" b="3175"/>
            <wp:docPr id="24765564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8DBC" w14:textId="5863FC61" w:rsidR="000260E8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網頁</w:t>
      </w:r>
      <w:r w:rsidR="000260E8">
        <w:rPr>
          <w:rFonts w:ascii="標楷體" w:eastAsia="標楷體" w:hAnsi="標楷體" w:hint="eastAsia"/>
          <w:b/>
          <w:bCs/>
          <w:sz w:val="40"/>
          <w:szCs w:val="36"/>
        </w:rPr>
        <w:t>結果輸出</w:t>
      </w:r>
    </w:p>
    <w:p w14:paraId="105E36F9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結果輸出頁面：上半部</w:t>
      </w:r>
    </w:p>
    <w:p w14:paraId="096FA17D" w14:textId="16A8CE49" w:rsidR="000260E8" w:rsidRDefault="000260E8" w:rsidP="0016404F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03BE857D" wp14:editId="6000B83C">
            <wp:extent cx="5270500" cy="2959100"/>
            <wp:effectExtent l="0" t="0" r="6350" b="0"/>
            <wp:docPr id="133385158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E046" w14:textId="77777777" w:rsidR="000260E8" w:rsidRDefault="000260E8" w:rsidP="0016404F">
      <w:pPr>
        <w:jc w:val="both"/>
      </w:pPr>
    </w:p>
    <w:p w14:paraId="0FB2A92F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結果輸出頁面：下半部</w:t>
      </w:r>
    </w:p>
    <w:p w14:paraId="54113C0D" w14:textId="7ED8838C" w:rsidR="000260E8" w:rsidRDefault="000260E8" w:rsidP="0016404F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13AC54" wp14:editId="4D34D4E7">
            <wp:extent cx="5270500" cy="2959100"/>
            <wp:effectExtent l="0" t="0" r="6350" b="0"/>
            <wp:docPr id="18277798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9F9B" w14:textId="77777777" w:rsidR="000260E8" w:rsidRDefault="000260E8" w:rsidP="0016404F">
      <w:pPr>
        <w:jc w:val="both"/>
      </w:pPr>
    </w:p>
    <w:p w14:paraId="21ACD1D4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輸出視覺化：包含辨識框及輸出結果展示，左右按鍵可變換當前展示頁面</w:t>
      </w:r>
    </w:p>
    <w:p w14:paraId="7DFA87A8" w14:textId="651E8347" w:rsidR="000260E8" w:rsidRDefault="000260E8" w:rsidP="0016404F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70C6FAE3" wp14:editId="51C3F1C2">
            <wp:extent cx="5262245" cy="1475105"/>
            <wp:effectExtent l="0" t="0" r="0" b="0"/>
            <wp:docPr id="148497346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297A" w14:textId="77777777" w:rsidR="000260E8" w:rsidRDefault="000260E8" w:rsidP="0016404F">
      <w:pPr>
        <w:jc w:val="both"/>
      </w:pPr>
    </w:p>
    <w:p w14:paraId="38CAE119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直接點擊圖片進入相簿模式，可以對圖片進行放大</w:t>
      </w:r>
    </w:p>
    <w:p w14:paraId="5A2A4343" w14:textId="0AD5E36B" w:rsidR="000260E8" w:rsidRDefault="000260E8" w:rsidP="0016404F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93D7A5" wp14:editId="71A6108D">
            <wp:extent cx="5270500" cy="2959100"/>
            <wp:effectExtent l="0" t="0" r="6350" b="0"/>
            <wp:docPr id="12045325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509C" w14:textId="77777777" w:rsidR="000260E8" w:rsidRDefault="000260E8" w:rsidP="0016404F">
      <w:pPr>
        <w:jc w:val="both"/>
      </w:pPr>
    </w:p>
    <w:p w14:paraId="57184065" w14:textId="703880BB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6EC48E1C" wp14:editId="2FABE337">
            <wp:extent cx="5270500" cy="2959100"/>
            <wp:effectExtent l="0" t="0" r="6350" b="0"/>
            <wp:docPr id="14899885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46B8" w14:textId="77777777" w:rsidR="000260E8" w:rsidRDefault="000260E8" w:rsidP="0016404F">
      <w:pPr>
        <w:jc w:val="both"/>
      </w:pPr>
    </w:p>
    <w:p w14:paraId="2684ED7E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完整文字輸出：包含所有頁面辨識出之完整文章</w:t>
      </w:r>
    </w:p>
    <w:p w14:paraId="5497BCC9" w14:textId="21CBAC4B" w:rsidR="000260E8" w:rsidRDefault="000260E8" w:rsidP="0016404F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058CB8B8" wp14:editId="693B44CF">
            <wp:extent cx="5270500" cy="819785"/>
            <wp:effectExtent l="0" t="0" r="6350" b="0"/>
            <wp:docPr id="201501376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45D5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文章打包功能：包含</w:t>
      </w:r>
      <w:r>
        <w:rPr>
          <w:rFonts w:ascii="Times New Roman" w:eastAsia="標楷體" w:hAnsi="Times New Roman" w:cs="Times New Roman"/>
          <w:sz w:val="28"/>
          <w:szCs w:val="24"/>
        </w:rPr>
        <w:t>TXT</w:t>
      </w:r>
      <w:r>
        <w:rPr>
          <w:rFonts w:ascii="標楷體" w:eastAsia="標楷體" w:hAnsi="標楷體" w:hint="eastAsia"/>
          <w:sz w:val="28"/>
          <w:szCs w:val="24"/>
        </w:rPr>
        <w:t>文字檔下載、</w:t>
      </w:r>
      <w:r>
        <w:rPr>
          <w:rFonts w:ascii="Times New Roman" w:eastAsia="標楷體" w:hAnsi="Times New Roman" w:cs="Times New Roman"/>
          <w:sz w:val="28"/>
          <w:szCs w:val="24"/>
        </w:rPr>
        <w:t>API</w:t>
      </w:r>
      <w:r>
        <w:rPr>
          <w:rFonts w:ascii="標楷體" w:eastAsia="標楷體" w:hAnsi="標楷體" w:hint="eastAsia"/>
          <w:sz w:val="28"/>
          <w:szCs w:val="24"/>
        </w:rPr>
        <w:t>串接用</w:t>
      </w:r>
      <w:r>
        <w:rPr>
          <w:rFonts w:ascii="Times New Roman" w:eastAsia="標楷體" w:hAnsi="Times New Roman" w:cs="Times New Roman"/>
          <w:sz w:val="28"/>
          <w:szCs w:val="24"/>
        </w:rPr>
        <w:t>JSON</w:t>
      </w:r>
      <w:r>
        <w:rPr>
          <w:rFonts w:ascii="標楷體" w:eastAsia="標楷體" w:hAnsi="標楷體" w:hint="eastAsia"/>
          <w:sz w:val="28"/>
          <w:szCs w:val="24"/>
        </w:rPr>
        <w:t>檔案下載，以及重新開始新一輪識別</w:t>
      </w:r>
    </w:p>
    <w:p w14:paraId="0FADDBEA" w14:textId="7E1C7744" w:rsidR="000260E8" w:rsidRDefault="000260E8" w:rsidP="0016404F">
      <w:pPr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9717BB" wp14:editId="5087A046">
            <wp:extent cx="5270500" cy="698500"/>
            <wp:effectExtent l="0" t="0" r="6350" b="6350"/>
            <wp:docPr id="222598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0A4E" w14:textId="77777777" w:rsidR="00EC2C46" w:rsidRDefault="00EC2C46" w:rsidP="0016404F">
      <w:pPr>
        <w:jc w:val="both"/>
      </w:pPr>
    </w:p>
    <w:sectPr w:rsidR="00EC2C46" w:rsidSect="007E6F2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36B53"/>
    <w:multiLevelType w:val="hybridMultilevel"/>
    <w:tmpl w:val="2B26B37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D8A4212"/>
    <w:multiLevelType w:val="hybridMultilevel"/>
    <w:tmpl w:val="C0E483B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366592D"/>
    <w:multiLevelType w:val="hybridMultilevel"/>
    <w:tmpl w:val="DD5A798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7E6055A"/>
    <w:multiLevelType w:val="hybridMultilevel"/>
    <w:tmpl w:val="17789EA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2104869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08333521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422215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132746269">
    <w:abstractNumId w:val="0"/>
  </w:num>
  <w:num w:numId="5" w16cid:durableId="3143810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A43"/>
    <w:rsid w:val="000260E8"/>
    <w:rsid w:val="00142F63"/>
    <w:rsid w:val="0016404F"/>
    <w:rsid w:val="00173A43"/>
    <w:rsid w:val="002106E5"/>
    <w:rsid w:val="002A3FC1"/>
    <w:rsid w:val="006373FA"/>
    <w:rsid w:val="007D41DC"/>
    <w:rsid w:val="007E6F2F"/>
    <w:rsid w:val="00B82572"/>
    <w:rsid w:val="00BB09CE"/>
    <w:rsid w:val="00C617AF"/>
    <w:rsid w:val="00EC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B1FA3"/>
  <w15:chartTrackingRefBased/>
  <w15:docId w15:val="{9FA0E118-96F6-4507-B140-52B50103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0E8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60E8"/>
    <w:pPr>
      <w:ind w:leftChars="200" w:left="480"/>
    </w:pPr>
  </w:style>
  <w:style w:type="paragraph" w:styleId="a4">
    <w:name w:val="No Spacing"/>
    <w:link w:val="a5"/>
    <w:uiPriority w:val="1"/>
    <w:qFormat/>
    <w:rsid w:val="007E6F2F"/>
    <w:rPr>
      <w:kern w:val="0"/>
      <w:sz w:val="22"/>
    </w:rPr>
  </w:style>
  <w:style w:type="character" w:customStyle="1" w:styleId="a5">
    <w:name w:val="無間距 字元"/>
    <w:basedOn w:val="a0"/>
    <w:link w:val="a4"/>
    <w:uiPriority w:val="1"/>
    <w:rsid w:val="007E6F2F"/>
    <w:rPr>
      <w:kern w:val="0"/>
      <w:sz w:val="22"/>
    </w:rPr>
  </w:style>
  <w:style w:type="character" w:styleId="a6">
    <w:name w:val="Hyperlink"/>
    <w:basedOn w:val="a0"/>
    <w:uiPriority w:val="99"/>
    <w:unhideWhenUsed/>
    <w:rsid w:val="006373F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37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2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2205.00159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PaddlePaddle/PaddleOC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鄧祺文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737</Words>
  <Characters>790</Characters>
  <Application>Microsoft Office Word</Application>
  <DocSecurity>0</DocSecurity>
  <Lines>112</Lines>
  <Paragraphs>80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IMG &amp; PDF OCR WEBUI</dc:title>
  <dc:subject>技術手冊</dc:subject>
  <dc:creator>Chi-Wen Teng</dc:creator>
  <cp:keywords/>
  <dc:description/>
  <cp:lastModifiedBy>Chi-Wen Teng</cp:lastModifiedBy>
  <cp:revision>46</cp:revision>
  <dcterms:created xsi:type="dcterms:W3CDTF">2023-09-06T05:36:00Z</dcterms:created>
  <dcterms:modified xsi:type="dcterms:W3CDTF">2023-09-06T05:53:00Z</dcterms:modified>
</cp:coreProperties>
</file>