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jc w:val="center"/>
        <w:rPr/>
      </w:pPr>
      <w:r>
        <w:rPr/>
        <w:t>DTA Inputs</w:t>
      </w:r>
    </w:p>
    <w:tbl>
      <w:tblPr>
        <w:tblW w:w="10816" w:type="dxa"/>
        <w:jc w:val="left"/>
        <w:tblInd w:w="0" w:type="dxa"/>
        <w:tblCellMar>
          <w:top w:w="0" w:type="dxa"/>
          <w:left w:w="7" w:type="dxa"/>
          <w:bottom w:w="0" w:type="dxa"/>
          <w:right w:w="6" w:type="dxa"/>
        </w:tblCellMar>
        <w:tblLook w:firstRow="1" w:noVBand="1" w:lastRow="0" w:firstColumn="1" w:lastColumn="0" w:noHBand="0" w:val="04a0"/>
      </w:tblPr>
      <w:tblGrid>
        <w:gridCol w:w="4300"/>
        <w:gridCol w:w="4112"/>
        <w:gridCol w:w="2404"/>
      </w:tblGrid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Asset eligibility limits (§363.110)</w:t>
            </w:r>
          </w:p>
        </w:tc>
        <w:tc>
          <w:tcPr>
            <w:tcW w:w="4112" w:type="dxa"/>
            <w:tcBorders>
              <w:top w:val="single" w:sz="6" w:space="0" w:color="CCCCCC"/>
              <w:bottom w:val="single" w:sz="1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4" w:type="dxa"/>
            <w:tcBorders>
              <w:top w:val="single" w:sz="6" w:space="0" w:color="CCCCCC"/>
              <w:bottom w:val="single" w:sz="18" w:space="0" w:color="000000"/>
              <w:right w:val="single" w:sz="6" w:space="0" w:color="CCCCCC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Elderly/disabled limit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${{ '{:,}'.format(AssetTest_Threshold)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rFonts w:eastAsia="Times New Roman" w:cs="Calibri" w:cstheme="minorHAnsi"/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No asset limit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$-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rFonts w:eastAsia="Times New Roman" w:cs="Calibri" w:cstheme="minorHAnsi"/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</w:r>
          </w:p>
        </w:tc>
      </w:tr>
      <w:tr>
        <w:trPr/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200% FPL gross income test (see §364.976; see also §365.180(A)(4)) 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Assistance unit size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200% of Federal poverty level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>1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>${{ '{:,}'.format(arrTwoHundredTable[0])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2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${{ '{:,}'.format(arrTwoHundredTable[1])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3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${{ '{:,}'.format(arrTwoHundredTable[2])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Normal"/>
              <w:spacing w:before="0" w:after="200"/>
              <w:rPr>
                <w:color w:val="984806" w:themeColor="accent6" w:themeShade="80"/>
                <w:sz w:val="22"/>
                <w:szCs w:val="22"/>
              </w:rPr>
            </w:pPr>
            <w:r>
              <w:rPr>
                <w:color w:val="984806" w:themeColor="accent6" w:themeShade="80"/>
                <w:sz w:val="22"/>
                <w:szCs w:val="22"/>
              </w:rPr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4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${{ '{:,}'.format(arrTwoHundredTable[3])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Normal"/>
              <w:spacing w:before="0" w:after="200"/>
              <w:rPr>
                <w:color w:val="984806" w:themeColor="accent6" w:themeShade="80"/>
                <w:sz w:val="22"/>
                <w:szCs w:val="22"/>
              </w:rPr>
            </w:pPr>
            <w:r>
              <w:rPr>
                <w:color w:val="984806" w:themeColor="accent6" w:themeShade="80"/>
                <w:sz w:val="22"/>
                <w:szCs w:val="22"/>
              </w:rPr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arrTwoHundredTable[4]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6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arrTwoHundredTable[5]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7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arrTwoHundredTable[6]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arrTwoHundredTable[7]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>O</w:t>
            </w:r>
            <w:r>
              <w:rPr>
                <w:rFonts w:eastAsia="Times New Roman" w:cs="Calibri" w:cstheme="minorHAnsi"/>
                <w:sz w:val="22"/>
                <w:szCs w:val="22"/>
              </w:rPr>
              <w:t>ver 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arrTwoHundredTable[8]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each</w:t>
            </w:r>
          </w:p>
        </w:tc>
      </w:tr>
      <w:tr>
        <w:trPr/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Standard deduction (see §364.400(A))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Assistance unit size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Standard deduction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1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arrStdDed [0]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2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arrStdDed [1]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3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arrStdDed [2]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4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arrStdDed [3]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arrStdDed [4]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>O</w:t>
            </w:r>
            <w:r>
              <w:rPr>
                <w:rFonts w:eastAsia="Times New Roman" w:cs="Calibri" w:cstheme="minorHAnsi"/>
                <w:sz w:val="22"/>
                <w:szCs w:val="22"/>
              </w:rPr>
              <w:t>ver 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arrStdDed [5]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each</w:t>
            </w:r>
          </w:p>
        </w:tc>
      </w:tr>
      <w:tr>
        <w:trPr/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Earned income deduction (see §364.400(B))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% of gross monthly earned income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{{ (PCT_TO_EARNED_INCOME_DED * 100)|round|int }}%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Medical expenses threshold (see §364.400(C))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threshold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${{ MEDICAL_THRESHOLD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Standard utility allowance (see §§364.400(G), 364.945)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Heating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${{ HEATING_UTILITY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Non-heating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${{ NON_HEATING_UTILITY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Zero Utility Expenses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$-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Telephone Only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${{ PHONE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Miscellaneous variables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standard shelter deduction cap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${{ SHELTER_DED_CAP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§364.400(E)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homeless deduction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${{ HOMELESS_DED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§364.400(H); §364.400(F)(1)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child support deduction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§364.400(G)</w:t>
            </w:r>
          </w:p>
        </w:tc>
      </w:tr>
      <w:tr>
        <w:trPr/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Maximum allowable monthly net income standards (§364.970; see also §364.550)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assistance unit size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standard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1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arrMaxAllowableNIC [0]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2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arrMaxAllowableNIC [1]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3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arrMaxAllowableNIC [2]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4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arrMaxAllowableNIC [3]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arrMaxAllowableNIC [4]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6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arrMaxAllowableNIC [5]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7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arrMaxAllowableNIC [6]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arrMaxAllowableNIC [7]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rFonts w:ascii="Calibri" w:hAnsi="Calibri" w:eastAsia="Times New Roman" w:cs="Calibri" w:cstheme="minorHAnsi"/>
                <w:color w:val="auto"/>
                <w:kern w:val="0"/>
                <w:sz w:val="22"/>
                <w:szCs w:val="22"/>
                <w:lang w:val="en-US" w:eastAsia="zh-TW" w:bidi="ar-SA"/>
              </w:rPr>
            </w:pPr>
            <w:bookmarkStart w:id="2" w:name="__DdeLink__1545_273187667"/>
            <w:r>
              <w:rPr>
                <w:rFonts w:eastAsia="Times New Roman" w:cs="Calibri" w:cstheme="minorHAnsi"/>
                <w:color w:val="auto"/>
                <w:kern w:val="0"/>
                <w:sz w:val="22"/>
                <w:szCs w:val="22"/>
                <w:lang w:val="en-US" w:eastAsia="zh-TW" w:bidi="ar-SA"/>
              </w:rPr>
              <w:t>Over 8</w:t>
            </w:r>
            <w:bookmarkEnd w:id="2"/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</w:t>
            </w:r>
            <w:r>
              <w:rPr>
                <w:rFonts w:eastAsia="Times New Roman" w:cs="Calibri" w:cstheme="minorHAnsi"/>
                <w:sz w:val="22"/>
                <w:szCs w:val="22"/>
              </w:rPr>
              <w:t>arrMaxAllowableNIC [8]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  <w:r>
              <w:rPr>
                <w:rFonts w:eastAsia="Times New Roman" w:cs="Calibri" w:cstheme="minorHAnsi"/>
                <w:sz w:val="22"/>
                <w:szCs w:val="22"/>
              </w:rPr>
              <w:t>each</w:t>
            </w:r>
          </w:p>
        </w:tc>
      </w:tr>
      <w:tr>
        <w:trPr/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Maximum food stamp allotment for household size (§364.980). Applies to elder/disabled hh whose gross income exceeds 200% FPL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assistance unit size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Standard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1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(arrMaxSNAPAllotment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[0]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2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 arrMaxSNAPAllotment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[1]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3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 arrMaxSNAPAllotment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[2]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4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 arrMaxSNAPAllotment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[3]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 arrMaxSNAPAllotment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[4]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6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 arrMaxSNAPAllotment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[5]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7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 arrMaxSNAPAllotment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[6]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 arrMaxSNAPAllotment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[7]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rFonts w:ascii="Calibri" w:hAnsi="Calibri" w:eastAsia="Times New Roman" w:cs="Calibri" w:cstheme="minorHAnsi"/>
                <w:color w:val="auto"/>
                <w:kern w:val="0"/>
                <w:sz w:val="22"/>
                <w:szCs w:val="22"/>
                <w:lang w:val="en-US" w:eastAsia="zh-TW" w:bidi="ar-SA"/>
              </w:rPr>
            </w:pPr>
            <w:r>
              <w:rPr>
                <w:rFonts w:eastAsia="Times New Roman" w:cs="Calibri" w:cstheme="minorHAnsi"/>
                <w:color w:val="auto"/>
                <w:kern w:val="0"/>
                <w:sz w:val="22"/>
                <w:szCs w:val="22"/>
                <w:lang w:val="en-US" w:eastAsia="zh-TW" w:bidi="ar-SA"/>
              </w:rPr>
              <w:t>Over 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 xml:space="preserve">${{ </w:t>
            </w:r>
            <w:r>
              <w:rPr>
                <w:rStyle w:val="Str"/>
                <w:sz w:val="22"/>
                <w:szCs w:val="22"/>
              </w:rPr>
              <w:t>'{:,}'</w:t>
            </w:r>
            <w:r>
              <w:rPr>
                <w:rStyle w:val="Pun"/>
                <w:sz w:val="22"/>
                <w:szCs w:val="22"/>
              </w:rPr>
              <w:t>.</w:t>
            </w:r>
            <w:r>
              <w:rPr>
                <w:rStyle w:val="Pln"/>
                <w:sz w:val="22"/>
                <w:szCs w:val="22"/>
              </w:rPr>
              <w:t>format</w:t>
            </w:r>
            <w:r>
              <w:rPr>
                <w:rStyle w:val="Pun"/>
                <w:sz w:val="22"/>
                <w:szCs w:val="22"/>
              </w:rPr>
              <w:t>( arrMaxSNAPAllotment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[8]</w:t>
            </w:r>
            <w:r>
              <w:rPr>
                <w:rStyle w:val="Pun"/>
                <w:sz w:val="22"/>
                <w:szCs w:val="22"/>
              </w:rPr>
              <w:t>)</w:t>
            </w:r>
            <w:r>
              <w:rPr>
                <w:rFonts w:eastAsia="Times New Roman" w:cs="Calibri"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/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  <w:r>
              <w:rPr>
                <w:rFonts w:eastAsia="Times New Roman" w:cs="Calibri" w:cstheme="minorHAnsi"/>
                <w:sz w:val="22"/>
                <w:szCs w:val="22"/>
              </w:rPr>
              <w:t>each</w:t>
            </w:r>
          </w:p>
        </w:tc>
      </w:tr>
      <w:tr>
        <w:trPr/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Percentage of income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{{ (NET_INCOME_PCT)|round|int }}%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color="auto" w:fill="FFFF00" w:val="clear"/>
            <w:vAlign w:val="center"/>
          </w:tcPr>
          <w:p>
            <w:pPr>
              <w:pStyle w:val="Normal"/>
              <w:shd w:val="clear" w:fill="FAC45F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Minimum grant for small households (106 CMR 364.600(A)) 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Size of household: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{{ MINIMUM_SIZE_OF_HOUSEHOLD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or less</w:t>
            </w:r>
          </w:p>
        </w:tc>
      </w:tr>
      <w:tr>
        <w:trPr/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Minimum grant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lineRule="auto" w:line="240" w:before="45" w:after="45"/>
              <w:ind w:left="45" w:right="45" w:hanging="0"/>
              <w:jc w:val="right"/>
              <w:rPr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  <w:t>${{ MINIMUM_GRANT }}</w:t>
            </w:r>
          </w:p>
        </w:tc>
        <w:tc>
          <w:tcPr>
            <w:tcW w:w="2404" w:type="dxa"/>
            <w:tcBorders>
              <w:bottom w:val="single" w:sz="6" w:space="0" w:color="CCCCCC"/>
              <w:right w:val="single" w:sz="6" w:space="0" w:color="CCCCCC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2"/>
                <w:szCs w:val="22"/>
              </w:rPr>
            </w:pPr>
            <w:r>
              <w:rPr>
                <w:rFonts w:eastAsia="Times New Roman" w:cs="Calibri" w:cstheme="minorHAnsi"/>
                <w:sz w:val="22"/>
                <w:szCs w:val="22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Courier New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7F04BBC8">
              <wp:simplePos x="0" y="0"/>
              <wp:positionH relativeFrom="column">
                <wp:posOffset>-13335</wp:posOffset>
              </wp:positionH>
              <wp:positionV relativeFrom="paragraph">
                <wp:posOffset>-97155</wp:posOffset>
              </wp:positionV>
              <wp:extent cx="6635115" cy="1270"/>
              <wp:effectExtent l="0" t="0" r="19050" b="1905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444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05pt,-7.65pt" to="521.3pt,-7.65pt" ID="Straight Connector 1" stroked="t" style="position:absolute" wp14:anchorId="7F04BBC8">
              <v:stroke color="#4a7ebb" weight="9360" joinstyle="round" endcap="flat"/>
              <v:fill o:detectmouseclick="t" on="false"/>
            </v:line>
          </w:pict>
        </mc:Fallback>
      </mc:AlternateContent>
    </w:r>
    <w:r>
      <w:rPr>
        <w:rFonts w:eastAsia="新細明體" w:cs="" w:ascii="Cambria" w:hAnsi="Cambria" w:asciiTheme="majorHAnsi" w:cstheme="majorBidi" w:eastAsiaTheme="majorEastAsia" w:hAnsiTheme="majorHAnsi"/>
      </w:rPr>
      <w:t>{{calcDate}}</w:t>
      <w:tab/>
      <w:tab/>
      <w:t xml:space="preserve">Page </w:t>
    </w:r>
    <w:r>
      <w:rPr>
        <w:rFonts w:eastAsia="新細明體" w:cs="" w:ascii="Cambria" w:hAnsi="Cambria"/>
      </w:rPr>
      <w:fldChar w:fldCharType="begin"/>
    </w:r>
    <w:r>
      <w:rPr>
        <w:rFonts w:eastAsia="新細明體" w:cs="" w:ascii="Cambria" w:hAnsi="Cambria"/>
      </w:rPr>
      <w:instrText> PAGE </w:instrText>
    </w:r>
    <w:r>
      <w:rPr>
        <w:rFonts w:eastAsia="新細明體" w:cs="" w:ascii="Cambria" w:hAnsi="Cambria"/>
      </w:rPr>
      <w:fldChar w:fldCharType="separate"/>
    </w:r>
    <w:r>
      <w:rPr>
        <w:rFonts w:eastAsia="新細明體" w:cs="" w:ascii="Cambria" w:hAnsi="Cambria"/>
      </w:rPr>
      <w:t>1</w:t>
    </w:r>
    <w:r>
      <w:rPr>
        <w:rFonts w:eastAsia="新細明體" w:cs="" w:ascii="Cambria" w:hAnsi="Cambri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" w:color="622423"/>
      </w:pBdr>
      <w:tabs>
        <w:tab w:val="center" w:pos="4680" w:leader="none"/>
        <w:tab w:val="left" w:pos="7920" w:leader="none"/>
        <w:tab w:val="right" w:pos="9360" w:leader="none"/>
      </w:tabs>
      <w:jc w:val="both"/>
      <w:rPr/>
    </w:pPr>
    <w:sdt>
      <w:sdtPr>
        <w:text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alias w:val="Title"/>
      </w:sdtPr>
      <w:sdtContent>
        <w:r>
          <w:rPr>
            <w:rFonts w:eastAsia="新細明體" w:cs="" w:ascii="Cambria" w:hAnsi="Cambria" w:asciiTheme="majorHAnsi" w:cstheme="majorBidi" w:eastAsiaTheme="majorEastAsia" w:hAnsiTheme="majorHAnsi"/>
            <w:sz w:val="32"/>
            <w:szCs w:val="32"/>
          </w:rPr>
          <w:t>Massachusetts SNAP Calculator</w:t>
        </w:r>
        <w:r>
          <w:rPr>
            <w:rFonts w:eastAsia="新細明體" w:cs="" w:ascii="Cambria" w:hAnsi="Cambria" w:asciiTheme="majorHAnsi" w:cstheme="majorBidi" w:eastAsiaTheme="majorEastAsia" w:hAnsiTheme="majorHAnsi"/>
            <w:sz w:val="32"/>
            <w:szCs w:val="32"/>
          </w:rPr>
          <w:t xml:space="preserve"> (MLRI)</w:t>
        </w:r>
      </w:sdtContent>
    </w:sdt>
    <w:r>
      <w:rPr>
        <w:rFonts w:eastAsia="新細明體" w:cs="" w:ascii="Cambria" w:hAnsi="Cambria" w:asciiTheme="majorHAnsi" w:cstheme="majorBidi" w:eastAsiaTheme="majorEastAsia" w:hAnsiTheme="majorHAnsi"/>
        <w:sz w:val="32"/>
        <w:szCs w:val="32"/>
      </w:rPr>
      <w:t xml:space="preserve">             </w:t>
    </w:r>
    <w:r>
      <w:rPr>
        <w:rFonts w:eastAsia="新細明體" w:cs="" w:ascii="Cambria" w:hAnsi="Cambria" w:asciiTheme="majorHAnsi" w:cstheme="majorBidi" w:eastAsiaTheme="majorEastAsia" w:hAnsiTheme="majorHAnsi"/>
        <w:sz w:val="22"/>
        <w:szCs w:val="22"/>
      </w:rPr>
      <w:t>[{{as_of_date}}]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1cb6"/>
    <w:pPr>
      <w:widowControl/>
      <w:bidi w:val="0"/>
      <w:spacing w:lineRule="auto" w:line="276" w:before="0" w:after="20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6"/>
    <w:pPr>
      <w:keepNext w:val="true"/>
      <w:keepLines/>
      <w:spacing w:before="480" w:after="0"/>
      <w:outlineLvl w:val="0"/>
    </w:pPr>
    <w:rPr>
      <w:rFonts w:ascii="Cambria" w:hAnsi="Cambria" w:eastAsia="新細明體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5d"/>
    <w:pPr>
      <w:keepNext w:val="true"/>
      <w:keepLines/>
      <w:spacing w:before="200" w:after="0"/>
      <w:outlineLvl w:val="1"/>
    </w:pPr>
    <w:rPr>
      <w:rFonts w:ascii="Cambria" w:hAnsi="Cambria" w:eastAsia="新細明體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60a"/>
    <w:pPr>
      <w:keepNext w:val="true"/>
      <w:keepLines/>
      <w:spacing w:before="200" w:after="0"/>
      <w:outlineLvl w:val="2"/>
    </w:pPr>
    <w:rPr>
      <w:rFonts w:ascii="Cambria" w:hAnsi="Cambria" w:eastAsia="新細明體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a1cb6"/>
    <w:rPr>
      <w:rFonts w:ascii="Cambria" w:hAnsi="Cambria" w:eastAsia="新細明體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f1c5d"/>
    <w:rPr>
      <w:rFonts w:ascii="Cambria" w:hAnsi="Cambria" w:eastAsia="新細明體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e0efb"/>
    <w:rPr>
      <w:rFonts w:ascii="Courier New" w:hAnsi="Courier New" w:eastAsia="Times New Roman" w:cs="Courier New"/>
      <w:sz w:val="20"/>
      <w:szCs w:val="20"/>
    </w:rPr>
  </w:style>
  <w:style w:type="character" w:styleId="S2" w:customStyle="1">
    <w:name w:val="s2"/>
    <w:basedOn w:val="DefaultParagraphFont"/>
    <w:qFormat/>
    <w:rsid w:val="00be0efb"/>
    <w:rPr/>
  </w:style>
  <w:style w:type="character" w:styleId="O" w:customStyle="1">
    <w:name w:val="o"/>
    <w:basedOn w:val="DefaultParagraphFont"/>
    <w:qFormat/>
    <w:rsid w:val="00be0efb"/>
    <w:rPr/>
  </w:style>
  <w:style w:type="character" w:styleId="Nf" w:customStyle="1">
    <w:name w:val="nf"/>
    <w:basedOn w:val="DefaultParagraphFont"/>
    <w:qFormat/>
    <w:rsid w:val="00be0efb"/>
    <w:rPr/>
  </w:style>
  <w:style w:type="character" w:styleId="Nv" w:customStyle="1">
    <w:name w:val="nv"/>
    <w:basedOn w:val="DefaultParagraphFont"/>
    <w:qFormat/>
    <w:rsid w:val="00be0efb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75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75b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575bd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0660a"/>
    <w:rPr>
      <w:rFonts w:ascii="Cambria" w:hAnsi="Cambria" w:eastAsia="新細明體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a81bff"/>
    <w:rPr>
      <w:color w:val="0000FF" w:themeColor="hyperlink"/>
      <w:u w:val="single"/>
    </w:rPr>
  </w:style>
  <w:style w:type="character" w:styleId="Str">
    <w:name w:val="str"/>
    <w:basedOn w:val="DefaultParagraphFont"/>
    <w:qFormat/>
    <w:rPr/>
  </w:style>
  <w:style w:type="character" w:styleId="Pun">
    <w:name w:val="pun"/>
    <w:basedOn w:val="DefaultParagraphFont"/>
    <w:qFormat/>
    <w:rPr/>
  </w:style>
  <w:style w:type="character" w:styleId="Pln">
    <w:name w:val="pl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9349a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0ef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75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75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75b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a5b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3B6107E1C349FB86103D3FA73E1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D9CA3-3DDE-4141-A79A-B7B22ED19A0A}"/>
      </w:docPartPr>
      <w:docPartBody>
        <w:p w:rsidR="001F091E" w:rsidRDefault="0090531D" w:rsidP="0090531D">
          <w:pPr>
            <w:pStyle w:val="683B6107E1C349FB86103D3FA73E187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31D"/>
    <w:rsid w:val="001F091E"/>
    <w:rsid w:val="003F210F"/>
    <w:rsid w:val="0090531D"/>
    <w:rsid w:val="00B7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BDCEDBAFD4B6C862F5A5A5B7BA25C">
    <w:name w:val="EB9BDCEDBAFD4B6C862F5A5A5B7BA25C"/>
    <w:rsid w:val="0090531D"/>
  </w:style>
  <w:style w:type="paragraph" w:customStyle="1" w:styleId="2002AA1B0E224A42817522D943A25FAE">
    <w:name w:val="2002AA1B0E224A42817522D943A25FAE"/>
    <w:rsid w:val="0090531D"/>
  </w:style>
  <w:style w:type="paragraph" w:customStyle="1" w:styleId="2187C0069D8541ACAC5C81152727A027">
    <w:name w:val="2187C0069D8541ACAC5C81152727A027"/>
    <w:rsid w:val="0090531D"/>
  </w:style>
  <w:style w:type="paragraph" w:customStyle="1" w:styleId="683B6107E1C349FB86103D3FA73E1877">
    <w:name w:val="683B6107E1C349FB86103D3FA73E1877"/>
    <w:rsid w:val="0090531D"/>
  </w:style>
  <w:style w:type="paragraph" w:customStyle="1" w:styleId="D60053D952F845E3944B03715AF66936">
    <w:name w:val="D60053D952F845E3944B03715AF66936"/>
    <w:rsid w:val="00905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CEBE9-1B93-4570-8DD7-27C1D454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LibreOffice/6.3.5.2$Windows_X86_64 LibreOffice_project/dd0751754f11728f69b42ee2af66670068624673</Application>
  <Pages>3</Pages>
  <Words>354</Words>
  <Characters>2633</Characters>
  <CharactersWithSpaces>2935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2020-02-10T18:15:00Z</dcterms:created>
  <dc:creator>MLRI Staff</dc:creator>
  <dc:description/>
  <dc:language>en-US</dc:language>
  <cp:lastModifiedBy/>
  <dcterms:modified xsi:type="dcterms:W3CDTF">2020-10-23T16:15:30Z</dcterms:modified>
  <cp:revision>21</cp:revision>
  <dc:subject/>
  <dc:title>Massachusetts SNAP Calculator (MLRI)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