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32236" w:name="chapter_1"/>
      <w:pPr>
        <w:pStyle w:val="Heading1"/>
      </w:pPr>
      <w:r>
        <w:t>Session 1: Waking Up in a Burning House</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74553" w:name="chapter_2"/>
      <w:pPr>
        <w:pStyle w:val="Heading1"/>
      </w:pPr>
      <w:r>
        <w:t>Session 2: Diagnosing a Spiritual Crisis</w:t>
      </w:r>
      <w:bookmarkEnd w:id="74553"/>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17573" w:name="chapter_3"/>
      <w:pPr>
        <w:pStyle w:val="Heading1"/>
      </w:pPr>
      <w:r>
        <w:t>Session 3: The Church in the Mirror</w:t>
      </w:r>
      <w:bookmarkEnd w:id="17573"/>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25757" w:name="chapter_4"/>
      <w:pPr>
        <w:pStyle w:val="Heading1"/>
      </w:pPr>
      <w:r>
        <w:t>Session 4: Repentance as Revolution’s Engine</w:t>
      </w:r>
      <w:bookmarkEnd w:id="25757"/>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57862" w:name="chapter_5"/>
      <w:pPr>
        <w:pStyle w:val="Heading1"/>
      </w:pPr>
      <w:r>
        <w:t>Session 5: Courage in a Hostile Age</w:t>
      </w:r>
      <w:bookmarkEnd w:id="57862"/>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24622" w:name="chapter_6"/>
      <w:pPr>
        <w:pStyle w:val="Heading1"/>
      </w:pPr>
      <w:r>
        <w:t>Session 6: Public Faith and Cultural Engagement</w:t>
      </w:r>
      <w:bookmarkEnd w:id="24622"/>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68264" w:name="chapter_7"/>
      <w:pPr>
        <w:pStyle w:val="Heading1"/>
      </w:pPr>
      <w:r>
        <w:t>Session 7: Prayer, Power, and the Invisible Battle</w:t>
      </w:r>
      <w:bookmarkEnd w:id="68264"/>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77835" w:name="chapter_8"/>
      <w:pPr>
        <w:pStyle w:val="Heading1"/>
      </w:pPr>
      <w:r>
        <w:t>Session 8: A Life Reordered by Revolution</w:t>
      </w:r>
      <w:bookmarkEnd w:id="77835"/>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