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40" w:lineRule="auto"/>
        <w:jc w:val="both"/>
        <w:rPr>
          <w:b w:val="1"/>
          <w:sz w:val="48"/>
          <w:szCs w:val="48"/>
        </w:rPr>
      </w:pPr>
      <w:bookmarkStart w:colFirst="0" w:colLast="0" w:name="_qtwogj8o37hl" w:id="0"/>
      <w:bookmarkEnd w:id="0"/>
      <w:r w:rsidDel="00000000" w:rsidR="00000000" w:rsidRPr="00000000">
        <w:rPr>
          <w:b w:val="1"/>
          <w:sz w:val="48"/>
          <w:szCs w:val="48"/>
          <w:rtl w:val="0"/>
        </w:rPr>
        <w:t xml:space="preserve">Predictive Model of Neighborhood Change</w:t>
      </w:r>
    </w:p>
    <w:p w:rsidR="00000000" w:rsidDel="00000000" w:rsidP="00000000" w:rsidRDefault="00000000" w:rsidRPr="00000000" w14:paraId="00000002">
      <w:pPr>
        <w:spacing w:before="0" w:line="240" w:lineRule="auto"/>
        <w:rPr>
          <w:b w:val="1"/>
          <w:sz w:val="48"/>
          <w:szCs w:val="48"/>
        </w:rPr>
      </w:pPr>
      <w:r w:rsidDel="00000000" w:rsidR="00000000" w:rsidRPr="00000000">
        <w:rPr>
          <w:rtl w:val="0"/>
        </w:rPr>
        <w:t xml:space="preserve">Alex Amy (aaa453), Brandt Beckerman (bnb44), Rebecca Lassman (rsl252), Toby Leung (htl9)</w:t>
      </w:r>
      <w:r w:rsidDel="00000000" w:rsidR="00000000" w:rsidRPr="00000000">
        <w:rPr>
          <w:b w:val="1"/>
          <w:sz w:val="48"/>
          <w:szCs w:val="48"/>
          <w:rtl w:val="0"/>
        </w:rPr>
        <w:t xml:space="preserve"> </w:t>
      </w:r>
    </w:p>
    <w:p w:rsidR="00000000" w:rsidDel="00000000" w:rsidP="00000000" w:rsidRDefault="00000000" w:rsidRPr="00000000" w14:paraId="00000003">
      <w:pPr>
        <w:pStyle w:val="Heading3"/>
        <w:shd w:fill="ffffff" w:val="clear"/>
        <w:spacing w:after="200" w:line="240" w:lineRule="auto"/>
        <w:ind w:left="0" w:firstLine="0"/>
        <w:rPr>
          <w:color w:val="000000"/>
          <w:sz w:val="26"/>
          <w:szCs w:val="26"/>
        </w:rPr>
      </w:pPr>
      <w:bookmarkStart w:colFirst="0" w:colLast="0" w:name="_8yo1yfw8fgj4" w:id="1"/>
      <w:bookmarkEnd w:id="1"/>
      <w:r w:rsidDel="00000000" w:rsidR="00000000" w:rsidRPr="00000000">
        <w:rPr>
          <w:b w:val="1"/>
          <w:i w:val="1"/>
          <w:color w:val="000000"/>
          <w:sz w:val="20"/>
          <w:szCs w:val="20"/>
          <w:rtl w:val="0"/>
        </w:rPr>
        <w:t xml:space="preserve">ABSTRACT</w:t>
      </w:r>
      <w:r w:rsidDel="00000000" w:rsidR="00000000" w:rsidRPr="00000000">
        <w:rPr>
          <w:b w:val="1"/>
          <w:color w:val="000000"/>
          <w:sz w:val="20"/>
          <w:szCs w:val="20"/>
          <w:rtl w:val="0"/>
        </w:rPr>
        <w:t xml:space="preserve"> - </w:t>
      </w:r>
      <w:r w:rsidDel="00000000" w:rsidR="00000000" w:rsidRPr="00000000">
        <w:rPr>
          <w:b w:val="1"/>
          <w:i w:val="1"/>
          <w:color w:val="000000"/>
          <w:sz w:val="20"/>
          <w:szCs w:val="20"/>
          <w:rtl w:val="0"/>
        </w:rPr>
        <w:t xml:space="preserve">Gentrification in major urban centers around the world has led to the movement and displacement of tens of millions of people. New York City is no different facing rapid neighborhood change on a yearly basis.  While the effects of gentrification have long been studied, the indicators of gentrification are still mired in mystery. Utilizing US Census and NYC PLUTO datasets, this paper generates a model to predict which neighborhoods will see high, medium, or low growth in property values five years in the future. This study builds on existing research by discovering the factors that lead to high and low neighborhood growth rates. Through understanding the factors that lead to soon-to-be high value neighborhoods, as well as those of stagnating neighborhoods, policymakers will be able to develop early interventions to counteract well defined negative impacts and better combat economic inequality in cities.</w:t>
      </w:r>
      <w:r w:rsidDel="00000000" w:rsidR="00000000" w:rsidRPr="00000000">
        <w:rPr>
          <w:rtl w:val="0"/>
        </w:rPr>
      </w:r>
    </w:p>
    <w:p w:rsidR="00000000" w:rsidDel="00000000" w:rsidP="00000000" w:rsidRDefault="00000000" w:rsidRPr="00000000" w14:paraId="00000004">
      <w:pPr>
        <w:pStyle w:val="Heading3"/>
        <w:numPr>
          <w:ilvl w:val="0"/>
          <w:numId w:val="1"/>
        </w:numPr>
        <w:shd w:fill="ffffff" w:val="clear"/>
        <w:spacing w:after="200" w:line="240" w:lineRule="auto"/>
        <w:ind w:left="720" w:hanging="360"/>
        <w:rPr>
          <w:color w:val="000000"/>
          <w:sz w:val="24"/>
          <w:szCs w:val="24"/>
        </w:rPr>
      </w:pPr>
      <w:bookmarkStart w:colFirst="0" w:colLast="0" w:name="_sf9c16f0l9xg" w:id="2"/>
      <w:bookmarkEnd w:id="2"/>
      <w:r w:rsidDel="00000000" w:rsidR="00000000" w:rsidRPr="00000000">
        <w:rPr>
          <w:color w:val="000000"/>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240" w:lineRule="auto"/>
        <w:ind w:left="0" w:firstLine="720"/>
        <w:rPr/>
      </w:pPr>
      <w:r w:rsidDel="00000000" w:rsidR="00000000" w:rsidRPr="00000000">
        <w:rPr>
          <w:rtl w:val="0"/>
        </w:rPr>
        <w:t xml:space="preserve">Growing income inequality is exacerbated when households and small businesses are priced out of their neighborhoods. However, this is a complex problem as the city also has a growing housing demand that can only be satiated by developing the less established boroughs. As a result, in building a predictive model of neighborhood change, this study allows the city to tackle the problem from two fronts. First, it would provide policymakers an ample amount of time and foresight to establish policies to protect vulnerable neighborhoods ahead of time. Second, it indicates what census features are most expressive of neighborhood change and stagnation, thus giving policymakers a better understanding of the larger holistic problem. Our analysis classifies neighborhoods based on the growth of property values and applies a suite of predictive models to determine which of a </w:t>
      </w:r>
      <w:r w:rsidDel="00000000" w:rsidR="00000000" w:rsidRPr="00000000">
        <w:rPr>
          <w:rtl w:val="0"/>
        </w:rPr>
        <w:t xml:space="preserve">neighborhood’s census features can predict its growth profile in subsequent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3"/>
        <w:numPr>
          <w:ilvl w:val="0"/>
          <w:numId w:val="1"/>
        </w:numPr>
        <w:shd w:fill="ffffff" w:val="clear"/>
        <w:spacing w:after="200" w:line="240" w:lineRule="auto"/>
        <w:ind w:left="720" w:hanging="360"/>
        <w:rPr>
          <w:color w:val="000000"/>
          <w:sz w:val="24"/>
          <w:szCs w:val="24"/>
        </w:rPr>
      </w:pPr>
      <w:bookmarkStart w:colFirst="0" w:colLast="0" w:name="_txz47p8yuz1u" w:id="3"/>
      <w:bookmarkEnd w:id="3"/>
      <w:r w:rsidDel="00000000" w:rsidR="00000000" w:rsidRPr="00000000">
        <w:rPr>
          <w:color w:val="000000"/>
          <w:sz w:val="24"/>
          <w:szCs w:val="24"/>
          <w:rtl w:val="0"/>
        </w:rPr>
        <w:t xml:space="preserve">BACKGROUND</w:t>
      </w:r>
      <w:r w:rsidDel="00000000" w:rsidR="00000000" w:rsidRPr="00000000">
        <w:rPr>
          <w:rtl w:val="0"/>
        </w:rPr>
      </w:r>
    </w:p>
    <w:p w:rsidR="00000000" w:rsidDel="00000000" w:rsidP="00000000" w:rsidRDefault="00000000" w:rsidRPr="00000000" w14:paraId="00000007">
      <w:pPr>
        <w:spacing w:line="240" w:lineRule="auto"/>
        <w:ind w:firstLine="720"/>
        <w:rPr/>
      </w:pPr>
      <w:r w:rsidDel="00000000" w:rsidR="00000000" w:rsidRPr="00000000">
        <w:rPr>
          <w:rtl w:val="0"/>
        </w:rPr>
        <w:t xml:space="preserve">Given the profound interest in the study of gentrification, there have been significant scholarly research across a wide variety of disciplines over the last 50 years including but not limited to: epidemiology and/in the context of gentrification and its impact on the health outcomes out the citizenry [1]; economics/sociology studying the movement of individuals away from city centers as a result of rising prices both in terms of housing and extraneous goods [2]; and environmental sciences and the impact of green initiatives on the ability for lower income residents being able to live in and around these areas [2]. The interest in this field from many different perspectives indicates that it is an area where the application of computer science to aid in this research is incredibly applicable/sorely needed.  A paper from NYU’s Center for Urban Science + Progress, sought to visualize population movement due to gentrification and while robust in its design did not seek to find the actual factors that lead to gentrification [4]. Factor’s leading to gentrification have been surmised and studied for decades and through our paper we will seek to provide an answer to this quandary using quantitative analysis from census data.</w:t>
      </w:r>
      <w:r w:rsidDel="00000000" w:rsidR="00000000" w:rsidRPr="00000000">
        <w:rPr>
          <w:rtl w:val="0"/>
        </w:rPr>
      </w:r>
    </w:p>
    <w:p w:rsidR="00000000" w:rsidDel="00000000" w:rsidP="00000000" w:rsidRDefault="00000000" w:rsidRPr="00000000" w14:paraId="00000008">
      <w:pPr>
        <w:pStyle w:val="Heading3"/>
        <w:numPr>
          <w:ilvl w:val="0"/>
          <w:numId w:val="1"/>
        </w:numPr>
        <w:shd w:fill="ffffff" w:val="clear"/>
        <w:spacing w:after="200" w:line="240" w:lineRule="auto"/>
        <w:ind w:left="720" w:hanging="360"/>
        <w:rPr>
          <w:color w:val="000000"/>
          <w:sz w:val="24"/>
          <w:szCs w:val="24"/>
        </w:rPr>
      </w:pPr>
      <w:bookmarkStart w:colFirst="0" w:colLast="0" w:name="_pfb1tqxe8vw1" w:id="4"/>
      <w:bookmarkEnd w:id="4"/>
      <w:r w:rsidDel="00000000" w:rsidR="00000000" w:rsidRPr="00000000">
        <w:rPr>
          <w:color w:val="000000"/>
          <w:sz w:val="24"/>
          <w:szCs w:val="24"/>
          <w:rtl w:val="0"/>
        </w:rPr>
        <w:t xml:space="preserve">METHOD</w:t>
      </w:r>
      <w:r w:rsidDel="00000000" w:rsidR="00000000" w:rsidRPr="00000000">
        <w:rPr>
          <w:rtl w:val="0"/>
        </w:rPr>
      </w:r>
    </w:p>
    <w:p w:rsidR="00000000" w:rsidDel="00000000" w:rsidP="00000000" w:rsidRDefault="00000000" w:rsidRPr="00000000" w14:paraId="00000009">
      <w:pPr>
        <w:pStyle w:val="Heading4"/>
        <w:spacing w:line="240" w:lineRule="auto"/>
        <w:rPr>
          <w:color w:val="000000"/>
          <w:sz w:val="22"/>
          <w:szCs w:val="22"/>
        </w:rPr>
      </w:pPr>
      <w:bookmarkStart w:colFirst="0" w:colLast="0" w:name="_7edewubo2o7y" w:id="5"/>
      <w:bookmarkEnd w:id="5"/>
      <w:r w:rsidDel="00000000" w:rsidR="00000000" w:rsidRPr="00000000">
        <w:rPr>
          <w:color w:val="000000"/>
          <w:sz w:val="22"/>
          <w:szCs w:val="22"/>
          <w:rtl w:val="0"/>
        </w:rPr>
        <w:t xml:space="preserve">DATA PREPARATION</w:t>
      </w:r>
    </w:p>
    <w:p w:rsidR="00000000" w:rsidDel="00000000" w:rsidP="00000000" w:rsidRDefault="00000000" w:rsidRPr="00000000" w14:paraId="0000000A">
      <w:pPr>
        <w:spacing w:line="240" w:lineRule="auto"/>
        <w:ind w:firstLine="720"/>
        <w:rPr/>
      </w:pPr>
      <w:r w:rsidDel="00000000" w:rsidR="00000000" w:rsidRPr="00000000">
        <w:rPr>
          <w:rtl w:val="0"/>
        </w:rPr>
        <w:t xml:space="preserve">Our dependent variable is the change in property tax assessment values between 2010 - 2020, classified into three target categories. To create this target we copied the NYC PLUTO dataset for the years 2010, 2015 and 2020 then aggregated assessment values in each year by zip code, calculated growth rates in the 5-year and 10-year periods, and classified each zip code as low (3), medium (2) or high (1) growth based upon whether it fell below, within, or above the first and third quartile of growth rates. </w:t>
      </w:r>
    </w:p>
    <w:p w:rsidR="00000000" w:rsidDel="00000000" w:rsidP="00000000" w:rsidRDefault="00000000" w:rsidRPr="00000000" w14:paraId="0000000B">
      <w:pPr>
        <w:spacing w:line="240" w:lineRule="auto"/>
        <w:ind w:firstLine="720"/>
        <w:rPr/>
      </w:pPr>
      <w:r w:rsidDel="00000000" w:rsidR="00000000" w:rsidRPr="00000000">
        <w:rPr>
          <w:rtl w:val="0"/>
        </w:rPr>
        <w:t xml:space="preserve">Our independent variables included socioeconomic, demographic, and housing characteristics of each zip code queried from the Census API. We used data from the American Community Survey 5-year as it provides the most reliable estimates. The data through the API at the zip code level is only published for the years between 2011 and 2018, so, while our assessment value data is from 2010, 2015 and 2020, the Census data we have ties to 2011, 2015 and 2018. Given the pace at which these variables change over a geographic area as large and varied as NYC, we are comfortable with these timeframes. </w:t>
      </w:r>
    </w:p>
    <w:p w:rsidR="00000000" w:rsidDel="00000000" w:rsidP="00000000" w:rsidRDefault="00000000" w:rsidRPr="00000000" w14:paraId="0000000C">
      <w:pPr>
        <w:spacing w:line="240" w:lineRule="auto"/>
        <w:ind w:firstLine="720"/>
        <w:rPr/>
      </w:pPr>
      <w:r w:rsidDel="00000000" w:rsidR="00000000" w:rsidRPr="00000000">
        <w:rPr>
          <w:rtl w:val="0"/>
        </w:rPr>
        <w:t xml:space="preserve">All census features are categorical and represent the percent of the population that fits the feature column (e.g. share of population in zip code older than 65). Our preprocessing steps included deletion of features (columns) and zip codes (rows) where the majority of entries were missing or populated with corrupted data (in the form of -6666666666 and -8888888888). Next we adjusted the columns names to match between the three year periods, and dropped categories that could not be translated across the three years to get three comparable datasets which we could merge into a single large dataset. This brought the number of features in each year down from 452 to 321. See the appendix for a breakdown of the features.</w:t>
      </w:r>
    </w:p>
    <w:p w:rsidR="00000000" w:rsidDel="00000000" w:rsidP="00000000" w:rsidRDefault="00000000" w:rsidRPr="00000000" w14:paraId="0000000D">
      <w:pPr>
        <w:pStyle w:val="Heading4"/>
        <w:spacing w:line="240" w:lineRule="auto"/>
        <w:rPr>
          <w:color w:val="000000"/>
          <w:sz w:val="22"/>
          <w:szCs w:val="22"/>
        </w:rPr>
      </w:pPr>
      <w:bookmarkStart w:colFirst="0" w:colLast="0" w:name="_a037h99r32lx" w:id="6"/>
      <w:bookmarkEnd w:id="6"/>
      <w:r w:rsidDel="00000000" w:rsidR="00000000" w:rsidRPr="00000000">
        <w:rPr>
          <w:color w:val="000000"/>
          <w:sz w:val="22"/>
          <w:szCs w:val="22"/>
          <w:rtl w:val="0"/>
        </w:rPr>
        <w:t xml:space="preserve">MODELING APPROACH</w:t>
      </w:r>
    </w:p>
    <w:p w:rsidR="00000000" w:rsidDel="00000000" w:rsidP="00000000" w:rsidRDefault="00000000" w:rsidRPr="00000000" w14:paraId="0000000E">
      <w:pPr>
        <w:spacing w:line="240" w:lineRule="auto"/>
        <w:ind w:firstLine="720"/>
        <w:rPr/>
      </w:pPr>
      <w:r w:rsidDel="00000000" w:rsidR="00000000" w:rsidRPr="00000000">
        <w:rPr>
          <w:rtl w:val="0"/>
        </w:rPr>
        <w:t xml:space="preserve">In this project we use</w:t>
      </w:r>
      <w:r w:rsidDel="00000000" w:rsidR="00000000" w:rsidRPr="00000000">
        <w:rPr>
          <w:rtl w:val="0"/>
        </w:rPr>
        <w:t xml:space="preserve"> three supervised learning algorithms: Logistic Regression (LR), Support Vector Machines (LinearSVM), and Random Forests (RF). This suite of discriminative machine learning algorithms were chosen to analyze our data due to the diverse set of geometric and tree-based perspectives they offered our classification problem.</w:t>
      </w:r>
    </w:p>
    <w:p w:rsidR="00000000" w:rsidDel="00000000" w:rsidP="00000000" w:rsidRDefault="00000000" w:rsidRPr="00000000" w14:paraId="0000000F">
      <w:pPr>
        <w:spacing w:line="240" w:lineRule="auto"/>
        <w:ind w:firstLine="720"/>
        <w:rPr/>
      </w:pPr>
      <w:r w:rsidDel="00000000" w:rsidR="00000000" w:rsidRPr="00000000">
        <w:rPr>
          <w:rtl w:val="0"/>
        </w:rPr>
        <w:t xml:space="preserve">We use two feature datasets</w:t>
      </w:r>
      <w:r w:rsidDel="00000000" w:rsidR="00000000" w:rsidRPr="00000000">
        <w:rPr>
          <w:rtl w:val="0"/>
        </w:rPr>
        <w:t xml:space="preserve"> each in a different temporal variation: point in time (PIT) and compound annual growth rate (CAGR). </w:t>
      </w:r>
      <w:r w:rsidDel="00000000" w:rsidR="00000000" w:rsidRPr="00000000">
        <w:rPr>
          <w:rtl w:val="0"/>
        </w:rPr>
        <w:t xml:space="preserve">We </w:t>
      </w:r>
      <w:r w:rsidDel="00000000" w:rsidR="00000000" w:rsidRPr="00000000">
        <w:rPr>
          <w:rtl w:val="0"/>
        </w:rPr>
        <w:t xml:space="preserve">trained</w:t>
      </w:r>
      <w:r w:rsidDel="00000000" w:rsidR="00000000" w:rsidRPr="00000000">
        <w:rPr>
          <w:rtl w:val="0"/>
        </w:rPr>
        <w:t xml:space="preserve"> the PIT and CAGR datasets independently vis-à-vis the aforementioned models, with the intuition that point-in-time and change over time data could provide different insights into property growth values. Given the large number of features in both datasets (321), we then experimented with two methods for adjusting the feature space (in addition to baseline which used all features as given), these included SelectKBest and Principal Component Analysis (PCA). In sum, we conducted 18 modelling exercises within a broader experimental structure as follows:</w:t>
      </w:r>
    </w:p>
    <w:p w:rsidR="00000000" w:rsidDel="00000000" w:rsidP="00000000" w:rsidRDefault="00000000" w:rsidRPr="00000000" w14:paraId="00000010">
      <w:pPr>
        <w:spacing w:line="240" w:lineRule="auto"/>
        <w:ind w:firstLine="720"/>
        <w:rPr/>
      </w:pPr>
      <w:r w:rsidDel="00000000" w:rsidR="00000000" w:rsidRPr="00000000">
        <w:rPr>
          <w:rtl w:val="0"/>
        </w:rPr>
      </w:r>
    </w:p>
    <w:p w:rsidR="00000000" w:rsidDel="00000000" w:rsidP="00000000" w:rsidRDefault="00000000" w:rsidRPr="00000000" w14:paraId="00000011">
      <w:pPr>
        <w:spacing w:line="240" w:lineRule="auto"/>
        <w:ind w:left="0" w:firstLine="0"/>
        <w:rPr/>
      </w:pPr>
      <w:r w:rsidDel="00000000" w:rsidR="00000000" w:rsidRPr="00000000">
        <w:rPr>
          <w:rtl w:val="0"/>
        </w:rPr>
        <w:t xml:space="preserve">FIGURE </w:t>
      </w:r>
      <w:r w:rsidDel="00000000" w:rsidR="00000000" w:rsidRPr="00000000">
        <w:rPr>
          <w:rtl w:val="0"/>
        </w:rPr>
        <w:t xml:space="preserve">1. MODEL APPROACH</w:t>
      </w:r>
    </w:p>
    <w:p w:rsidR="00000000" w:rsidDel="00000000" w:rsidP="00000000" w:rsidRDefault="00000000" w:rsidRPr="00000000" w14:paraId="00000012">
      <w:pPr>
        <w:spacing w:line="240" w:lineRule="auto"/>
        <w:ind w:firstLine="720"/>
        <w:rPr/>
      </w:pPr>
      <w:r w:rsidDel="00000000" w:rsidR="00000000" w:rsidRPr="00000000">
        <w:rPr>
          <w:rtl w:val="0"/>
        </w:rPr>
      </w:r>
    </w:p>
    <w:p w:rsidR="00000000" w:rsidDel="00000000" w:rsidP="00000000" w:rsidRDefault="00000000" w:rsidRPr="00000000" w14:paraId="00000013">
      <w:pPr>
        <w:spacing w:line="240" w:lineRule="auto"/>
        <w:ind w:left="0" w:firstLine="0"/>
        <w:rPr/>
      </w:pPr>
      <w:r w:rsidDel="00000000" w:rsidR="00000000" w:rsidRPr="00000000">
        <w:rPr/>
        <w:drawing>
          <wp:inline distB="114300" distT="114300" distL="114300" distR="114300">
            <wp:extent cx="4076700" cy="1990725"/>
            <wp:effectExtent b="0" l="0" r="0" t="0"/>
            <wp:docPr id="1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76700" cy="1990725"/>
                    </a:xfrm>
                    <a:prstGeom prst="rect"/>
                    <a:ln/>
                  </pic:spPr>
                </pic:pic>
              </a:graphicData>
            </a:graphic>
          </wp:inline>
        </w:drawing>
      </w:r>
      <w:r w:rsidDel="00000000" w:rsidR="00000000" w:rsidRPr="00000000">
        <w:rPr>
          <w:b w:val="1"/>
        </w:rPr>
        <w:drawing>
          <wp:inline distB="114300" distT="114300" distL="114300" distR="114300">
            <wp:extent cx="1375403" cy="476101"/>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5403" cy="47610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pacing w:line="240" w:lineRule="auto"/>
        <w:rPr>
          <w:color w:val="000000"/>
          <w:sz w:val="22"/>
          <w:szCs w:val="22"/>
        </w:rPr>
      </w:pPr>
      <w:bookmarkStart w:colFirst="0" w:colLast="0" w:name="_eovuqmpubkd4" w:id="7"/>
      <w:bookmarkEnd w:id="7"/>
      <w:r w:rsidDel="00000000" w:rsidR="00000000" w:rsidRPr="00000000">
        <w:rPr>
          <w:color w:val="000000"/>
          <w:sz w:val="22"/>
          <w:szCs w:val="22"/>
          <w:rtl w:val="0"/>
        </w:rPr>
        <w:t xml:space="preserve">DIMENSIONALITY REDUCTION METHODS</w:t>
      </w:r>
      <w:r w:rsidDel="00000000" w:rsidR="00000000" w:rsidRPr="00000000">
        <w:rPr>
          <w:rtl w:val="0"/>
        </w:rPr>
      </w:r>
    </w:p>
    <w:p w:rsidR="00000000" w:rsidDel="00000000" w:rsidP="00000000" w:rsidRDefault="00000000" w:rsidRPr="00000000" w14:paraId="00000015">
      <w:pPr>
        <w:spacing w:line="240" w:lineRule="auto"/>
        <w:ind w:firstLine="720"/>
        <w:rPr/>
      </w:pPr>
      <w:r w:rsidDel="00000000" w:rsidR="00000000" w:rsidRPr="00000000">
        <w:rPr>
          <w:rtl w:val="0"/>
        </w:rPr>
        <w:t xml:space="preserve">To reduce the dimensionality of our feature space, we used SciKitLearn’s implementations of SelectKBest and PCA. We chose these methods due to their divergent approaches to collapsing the feature space. SelectKBest calculates the chi-squared statistics for each column relative to the target then drops all but the K most highly-correlated. On the other hand PCA projects a high-dimensional dataset onto a lower-dimensional subspace whose span approximates the directions of maximal variance of the original data. Essentially, the principal components are a user-specified number of linear combinations of the original features that seek to explain the greatest amount of variance of the original data. Given its more analytic perspective, we thought PCA was highly complementary to SelectKBest’s more heuristic approach in the context of our problem.</w:t>
      </w:r>
    </w:p>
    <w:p w:rsidR="00000000" w:rsidDel="00000000" w:rsidP="00000000" w:rsidRDefault="00000000" w:rsidRPr="00000000" w14:paraId="00000016">
      <w:pPr>
        <w:spacing w:line="240" w:lineRule="auto"/>
        <w:ind w:firstLine="720"/>
        <w:rPr/>
      </w:pPr>
      <w:r w:rsidDel="00000000" w:rsidR="00000000" w:rsidRPr="00000000">
        <w:rPr>
          <w:rtl w:val="0"/>
        </w:rPr>
        <w:t xml:space="preserve">To ensure we selected the optimal number of features, we iterated through possible subsets ranging from 10-320 in increments of 10. We then ran our models on each of these feature subsets and selected the one that optimized each model’s respective holdout F1-score. Similarly, to ensure we selected the optimal number of principal components, we iterated through possible subspaces ranging in dimension from 5-175 in increments of 5 (due to our dataset’s having fewer rows than columns). We then ran our models on each of these subspaces and selected the one that optimized each model’s respective holdout F1-score.</w:t>
      </w:r>
      <w:r w:rsidDel="00000000" w:rsidR="00000000" w:rsidRPr="00000000">
        <w:rPr>
          <w:rtl w:val="0"/>
        </w:rPr>
      </w:r>
    </w:p>
    <w:p w:rsidR="00000000" w:rsidDel="00000000" w:rsidP="00000000" w:rsidRDefault="00000000" w:rsidRPr="00000000" w14:paraId="00000017">
      <w:pPr>
        <w:pStyle w:val="Heading4"/>
        <w:spacing w:line="240" w:lineRule="auto"/>
        <w:rPr>
          <w:color w:val="000000"/>
        </w:rPr>
      </w:pPr>
      <w:bookmarkStart w:colFirst="0" w:colLast="0" w:name="_d4rjyqp2n7g0" w:id="8"/>
      <w:bookmarkEnd w:id="8"/>
      <w:r w:rsidDel="00000000" w:rsidR="00000000" w:rsidRPr="00000000">
        <w:rPr>
          <w:color w:val="000000"/>
          <w:rtl w:val="0"/>
        </w:rPr>
        <w:t xml:space="preserve">HYPERPARAMETER TUNING</w:t>
      </w:r>
    </w:p>
    <w:p w:rsidR="00000000" w:rsidDel="00000000" w:rsidP="00000000" w:rsidRDefault="00000000" w:rsidRPr="00000000" w14:paraId="00000018">
      <w:pPr>
        <w:spacing w:line="240" w:lineRule="auto"/>
        <w:ind w:firstLine="720"/>
        <w:rPr>
          <w:highlight w:val="yellow"/>
        </w:rPr>
      </w:pPr>
      <w:r w:rsidDel="00000000" w:rsidR="00000000" w:rsidRPr="00000000">
        <w:rPr>
          <w:rtl w:val="0"/>
        </w:rPr>
        <w:t xml:space="preserve">Given the limited number of data points in our datasets (180 zip codes), we used cross validation on our train set to tune the model hyperparameters. </w:t>
      </w:r>
      <w:r w:rsidDel="00000000" w:rsidR="00000000" w:rsidRPr="00000000">
        <w:rPr>
          <w:rtl w:val="0"/>
        </w:rPr>
        <w:t xml:space="preserve">We began by identifying the optimal number of k-folds for cross validation. For LR models we experimented with the multinomial class (one-versus-rest vs. multinomial) and regularization strength (C-value). For LinearSVM we similarly experimented with the regularization parameter. For RF models, we adjusted the number of trees, minimum split percent, minimum leaf percent and maximum depth to enforce pruning. The regularization and pruning were particularly important to reduce algorithmic complexity given the small number of data points. Further details of the results of this hyperparameter tuning can be seen in the appendix.</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9">
      <w:pPr>
        <w:pStyle w:val="Heading3"/>
        <w:numPr>
          <w:ilvl w:val="0"/>
          <w:numId w:val="1"/>
        </w:numPr>
        <w:shd w:fill="ffffff" w:val="clear"/>
        <w:spacing w:after="200" w:line="240" w:lineRule="auto"/>
        <w:ind w:left="720" w:hanging="360"/>
        <w:rPr>
          <w:color w:val="000000"/>
          <w:sz w:val="22"/>
          <w:szCs w:val="22"/>
        </w:rPr>
      </w:pPr>
      <w:bookmarkStart w:colFirst="0" w:colLast="0" w:name="_4pdc2atcfee9" w:id="9"/>
      <w:bookmarkEnd w:id="9"/>
      <w:r w:rsidDel="00000000" w:rsidR="00000000" w:rsidRPr="00000000">
        <w:rPr>
          <w:color w:val="000000"/>
          <w:sz w:val="22"/>
          <w:szCs w:val="22"/>
          <w:rtl w:val="0"/>
        </w:rPr>
        <w:t xml:space="preserve">EXPERIMENTAL ANALYSIS</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227316</wp:posOffset>
            </wp:positionV>
            <wp:extent cx="3810000" cy="1943497"/>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8"/>
                    <a:srcRect b="0" l="1923" r="0" t="6459"/>
                    <a:stretch>
                      <a:fillRect/>
                    </a:stretch>
                  </pic:blipFill>
                  <pic:spPr>
                    <a:xfrm>
                      <a:off x="0" y="0"/>
                      <a:ext cx="3810000" cy="1943497"/>
                    </a:xfrm>
                    <a:prstGeom prst="rect"/>
                    <a:ln/>
                  </pic:spPr>
                </pic:pic>
              </a:graphicData>
            </a:graphic>
          </wp:anchor>
        </w:drawing>
      </w:r>
    </w:p>
    <w:p w:rsidR="00000000" w:rsidDel="00000000" w:rsidP="00000000" w:rsidRDefault="00000000" w:rsidRPr="00000000" w14:paraId="0000001B">
      <w:pPr>
        <w:spacing w:line="240" w:lineRule="auto"/>
        <w:ind w:firstLine="720"/>
        <w:rPr/>
      </w:pPr>
      <w:r w:rsidDel="00000000" w:rsidR="00000000" w:rsidRPr="00000000">
        <w:rPr>
          <w:rtl w:val="0"/>
        </w:rPr>
        <w:t xml:space="preserve">Our experimental analysis uses PIT and CAGR datasets</w:t>
      </w:r>
      <w:r w:rsidDel="00000000" w:rsidR="00000000" w:rsidRPr="00000000">
        <w:rPr>
          <w:rtl w:val="0"/>
        </w:rPr>
        <w:t xml:space="preserve"> to predict the 2015-2020 assessment value growth profile, a target feature that we generated through mapping changes in zip codes’ assessment value from 2015-2020.</w:t>
      </w:r>
      <w:r w:rsidDel="00000000" w:rsidR="00000000" w:rsidRPr="00000000">
        <w:rPr>
          <w:rtl w:val="0"/>
        </w:rPr>
        <w:t xml:space="preserve"> The figure to the right depicts this approach.</w:t>
      </w:r>
      <w:r w:rsidDel="00000000" w:rsidR="00000000" w:rsidRPr="00000000">
        <w:rPr>
          <w:rtl w:val="0"/>
        </w:rPr>
      </w:r>
    </w:p>
    <w:p w:rsidR="00000000" w:rsidDel="00000000" w:rsidP="00000000" w:rsidRDefault="00000000" w:rsidRPr="00000000" w14:paraId="0000001C">
      <w:pPr>
        <w:spacing w:line="240" w:lineRule="auto"/>
        <w:ind w:firstLine="720"/>
        <w:rPr/>
      </w:pPr>
      <w:r w:rsidDel="00000000" w:rsidR="00000000" w:rsidRPr="00000000">
        <w:rPr>
          <w:rtl w:val="0"/>
        </w:rPr>
        <w:t xml:space="preserve">We developed a total of 18 models representing a combination of two feature types (PIT and CAGR), three feature selection methods (Baseline, SelectKbest, and PCA), and three algorithms (LR with L2 regularization, LinearSVM, RF). The results of these models are detailed in figure </w:t>
      </w:r>
      <w:r w:rsidDel="00000000" w:rsidR="00000000" w:rsidRPr="00000000">
        <w:rPr>
          <w:rtl w:val="0"/>
        </w:rPr>
        <w:t xml:space="preserve">2</w:t>
      </w:r>
      <w:r w:rsidDel="00000000" w:rsidR="00000000" w:rsidRPr="00000000">
        <w:rPr>
          <w:rtl w:val="0"/>
        </w:rPr>
        <w:t xml:space="preserve"> below. </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FIGURE </w:t>
      </w:r>
      <w:r w:rsidDel="00000000" w:rsidR="00000000" w:rsidRPr="00000000">
        <w:rPr>
          <w:rtl w:val="0"/>
        </w:rPr>
        <w:t xml:space="preserve">2</w:t>
      </w:r>
      <w:r w:rsidDel="00000000" w:rsidR="00000000" w:rsidRPr="00000000">
        <w:rPr>
          <w:rtl w:val="0"/>
        </w:rPr>
        <w:t xml:space="preserve">. SUMMARY OF PERFORMANCE &amp; MODEL PARAMETERS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960"/>
        <w:gridCol w:w="1350"/>
        <w:gridCol w:w="1410"/>
        <w:gridCol w:w="990"/>
        <w:gridCol w:w="1357.5"/>
        <w:gridCol w:w="1357.5"/>
        <w:tblGridChange w:id="0">
          <w:tblGrid>
            <w:gridCol w:w="1935"/>
            <w:gridCol w:w="960"/>
            <w:gridCol w:w="1350"/>
            <w:gridCol w:w="1410"/>
            <w:gridCol w:w="990"/>
            <w:gridCol w:w="1357.5"/>
            <w:gridCol w:w="1357.5"/>
          </w:tblGrid>
        </w:tblGridChange>
      </w:tblGrid>
      <w:tr>
        <w:trPr>
          <w:trHeight w:val="42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Feature Dataset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PIT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CAGR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b w:val="1"/>
                <w:sz w:val="18"/>
                <w:szCs w:val="18"/>
              </w:rPr>
            </w:pPr>
            <w:r w:rsidDel="00000000" w:rsidR="00000000" w:rsidRPr="00000000">
              <w:rPr>
                <w:b w:val="1"/>
                <w:sz w:val="18"/>
                <w:szCs w:val="18"/>
                <w:rtl w:val="0"/>
              </w:rPr>
              <w:t xml:space="preserve">Feature Dimensionality/</w:t>
            </w:r>
          </w:p>
          <w:p w:rsidR="00000000" w:rsidDel="00000000" w:rsidP="00000000" w:rsidRDefault="00000000" w:rsidRPr="00000000" w14:paraId="0000002A">
            <w:pPr>
              <w:widowControl w:val="0"/>
              <w:spacing w:line="240" w:lineRule="auto"/>
              <w:jc w:val="left"/>
              <w:rPr>
                <w:b w:val="1"/>
                <w:sz w:val="18"/>
                <w:szCs w:val="18"/>
              </w:rPr>
            </w:pPr>
            <w:r w:rsidDel="00000000" w:rsidR="00000000" w:rsidRPr="00000000">
              <w:rPr>
                <w:b w:val="1"/>
                <w:sz w:val="18"/>
                <w:szCs w:val="18"/>
                <w:rtl w:val="0"/>
              </w:rPr>
              <w:t xml:space="preserve">Reduction Method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Baseline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Feature Selection (SelectKBest)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Dimensionality Reduction (PCA)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8"/>
                <w:szCs w:val="18"/>
              </w:rPr>
            </w:pPr>
            <w:r w:rsidDel="00000000" w:rsidR="00000000" w:rsidRPr="00000000">
              <w:rPr>
                <w:sz w:val="18"/>
                <w:szCs w:val="18"/>
                <w:rtl w:val="0"/>
              </w:rPr>
              <w:t xml:space="preserve">Baseline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sz w:val="18"/>
                <w:szCs w:val="18"/>
                <w:rtl w:val="0"/>
              </w:rPr>
              <w:t xml:space="preserve">Feature Selection (SelectKBest)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sz w:val="18"/>
                <w:szCs w:val="18"/>
                <w:rtl w:val="0"/>
              </w:rPr>
              <w:t xml:space="preserve">Dimensionality Reduction (PCA)</w:t>
            </w:r>
          </w:p>
        </w:tc>
      </w:tr>
      <w:tr>
        <w:trPr>
          <w:trHeight w:val="420" w:hRule="atLeast"/>
        </w:trPr>
        <w:tc>
          <w:tcPr>
            <w:gridSpan w:val="7"/>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Performance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widowControl w:val="0"/>
              <w:spacing w:line="240" w:lineRule="auto"/>
              <w:jc w:val="left"/>
              <w:rPr>
                <w:sz w:val="18"/>
                <w:szCs w:val="18"/>
              </w:rPr>
            </w:pPr>
            <w:r w:rsidDel="00000000" w:rsidR="00000000" w:rsidRPr="00000000">
              <w:rPr>
                <w:sz w:val="18"/>
                <w:szCs w:val="18"/>
                <w:rtl w:val="0"/>
              </w:rPr>
              <w:t xml:space="preserve">Logistic Regression (L2)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9">
            <w:pPr>
              <w:widowControl w:val="0"/>
              <w:spacing w:line="240" w:lineRule="auto"/>
              <w:jc w:val="center"/>
              <w:rPr>
                <w:sz w:val="18"/>
                <w:szCs w:val="18"/>
              </w:rPr>
            </w:pPr>
            <w:r w:rsidDel="00000000" w:rsidR="00000000" w:rsidRPr="00000000">
              <w:rPr>
                <w:sz w:val="18"/>
                <w:szCs w:val="18"/>
                <w:rtl w:val="0"/>
              </w:rPr>
              <w:t xml:space="preserve">0.4899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A">
            <w:pPr>
              <w:widowControl w:val="0"/>
              <w:spacing w:line="240" w:lineRule="auto"/>
              <w:jc w:val="center"/>
              <w:rPr>
                <w:sz w:val="18"/>
                <w:szCs w:val="18"/>
              </w:rPr>
            </w:pPr>
            <w:r w:rsidDel="00000000" w:rsidR="00000000" w:rsidRPr="00000000">
              <w:rPr>
                <w:sz w:val="18"/>
                <w:szCs w:val="18"/>
                <w:rtl w:val="0"/>
              </w:rPr>
              <w:t xml:space="preserve">0.4899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sz w:val="18"/>
                <w:szCs w:val="18"/>
                <w:rtl w:val="0"/>
              </w:rPr>
              <w:t xml:space="preserve">0.3260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C">
            <w:pPr>
              <w:widowControl w:val="0"/>
              <w:spacing w:line="240" w:lineRule="auto"/>
              <w:jc w:val="center"/>
              <w:rPr>
                <w:sz w:val="18"/>
                <w:szCs w:val="18"/>
              </w:rPr>
            </w:pPr>
            <w:r w:rsidDel="00000000" w:rsidR="00000000" w:rsidRPr="00000000">
              <w:rPr>
                <w:sz w:val="18"/>
                <w:szCs w:val="18"/>
                <w:rtl w:val="0"/>
              </w:rPr>
              <w:t xml:space="preserve">0.3763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D">
            <w:pPr>
              <w:widowControl w:val="0"/>
              <w:spacing w:line="240" w:lineRule="auto"/>
              <w:jc w:val="center"/>
              <w:rPr>
                <w:sz w:val="18"/>
                <w:szCs w:val="18"/>
              </w:rPr>
            </w:pPr>
            <w:r w:rsidDel="00000000" w:rsidR="00000000" w:rsidRPr="00000000">
              <w:rPr>
                <w:sz w:val="18"/>
                <w:szCs w:val="18"/>
                <w:rtl w:val="0"/>
              </w:rPr>
              <w:t xml:space="preserve">0.3972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E">
            <w:pPr>
              <w:widowControl w:val="0"/>
              <w:spacing w:line="240" w:lineRule="auto"/>
              <w:jc w:val="center"/>
              <w:rPr>
                <w:sz w:val="18"/>
                <w:szCs w:val="18"/>
              </w:rPr>
            </w:pPr>
            <w:r w:rsidDel="00000000" w:rsidR="00000000" w:rsidRPr="00000000">
              <w:rPr>
                <w:sz w:val="18"/>
                <w:szCs w:val="18"/>
                <w:rtl w:val="0"/>
              </w:rPr>
              <w:t xml:space="preserve">0.3260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F">
            <w:pPr>
              <w:widowControl w:val="0"/>
              <w:spacing w:line="240" w:lineRule="auto"/>
              <w:jc w:val="left"/>
              <w:rPr>
                <w:sz w:val="18"/>
                <w:szCs w:val="18"/>
              </w:rPr>
            </w:pPr>
            <w:r w:rsidDel="00000000" w:rsidR="00000000" w:rsidRPr="00000000">
              <w:rPr>
                <w:sz w:val="18"/>
                <w:szCs w:val="18"/>
                <w:rtl w:val="0"/>
              </w:rPr>
              <w:t xml:space="preserve">LinearSVM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0">
            <w:pPr>
              <w:widowControl w:val="0"/>
              <w:spacing w:line="240" w:lineRule="auto"/>
              <w:jc w:val="center"/>
              <w:rPr>
                <w:sz w:val="18"/>
                <w:szCs w:val="18"/>
              </w:rPr>
            </w:pPr>
            <w:r w:rsidDel="00000000" w:rsidR="00000000" w:rsidRPr="00000000">
              <w:rPr>
                <w:sz w:val="18"/>
                <w:szCs w:val="18"/>
                <w:rtl w:val="0"/>
              </w:rPr>
              <w:t xml:space="preserve">0.4067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0.3260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2">
            <w:pPr>
              <w:widowControl w:val="0"/>
              <w:spacing w:line="240" w:lineRule="auto"/>
              <w:jc w:val="center"/>
              <w:rPr>
                <w:sz w:val="18"/>
                <w:szCs w:val="18"/>
              </w:rPr>
            </w:pPr>
            <w:r w:rsidDel="00000000" w:rsidR="00000000" w:rsidRPr="00000000">
              <w:rPr>
                <w:sz w:val="18"/>
                <w:szCs w:val="18"/>
                <w:rtl w:val="0"/>
              </w:rPr>
              <w:t xml:space="preserve">0.4067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sz w:val="18"/>
                <w:szCs w:val="18"/>
                <w:rtl w:val="0"/>
              </w:rPr>
              <w:t xml:space="preserve">0.2897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4">
            <w:pPr>
              <w:widowControl w:val="0"/>
              <w:spacing w:line="240" w:lineRule="auto"/>
              <w:jc w:val="center"/>
              <w:rPr>
                <w:sz w:val="18"/>
                <w:szCs w:val="18"/>
              </w:rPr>
            </w:pPr>
            <w:r w:rsidDel="00000000" w:rsidR="00000000" w:rsidRPr="00000000">
              <w:rPr>
                <w:sz w:val="18"/>
                <w:szCs w:val="18"/>
                <w:rtl w:val="0"/>
              </w:rPr>
              <w:t xml:space="preserve">0.4159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0.5019</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6">
            <w:pPr>
              <w:widowControl w:val="0"/>
              <w:spacing w:line="240" w:lineRule="auto"/>
              <w:jc w:val="left"/>
              <w:rPr>
                <w:sz w:val="18"/>
                <w:szCs w:val="18"/>
              </w:rPr>
            </w:pPr>
            <w:r w:rsidDel="00000000" w:rsidR="00000000" w:rsidRPr="00000000">
              <w:rPr>
                <w:sz w:val="18"/>
                <w:szCs w:val="18"/>
                <w:rtl w:val="0"/>
              </w:rPr>
              <w:t xml:space="preserve">RandomForest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tl w:val="0"/>
              </w:rPr>
              <w:t xml:space="preserve">0.5312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8">
            <w:pPr>
              <w:widowControl w:val="0"/>
              <w:spacing w:line="240" w:lineRule="auto"/>
              <w:jc w:val="center"/>
              <w:rPr>
                <w:sz w:val="18"/>
                <w:szCs w:val="18"/>
              </w:rPr>
            </w:pPr>
            <w:r w:rsidDel="00000000" w:rsidR="00000000" w:rsidRPr="00000000">
              <w:rPr>
                <w:sz w:val="18"/>
                <w:szCs w:val="18"/>
                <w:rtl w:val="0"/>
              </w:rPr>
              <w:t xml:space="preserve">0.5833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9">
            <w:pPr>
              <w:widowControl w:val="0"/>
              <w:spacing w:line="240" w:lineRule="auto"/>
              <w:jc w:val="center"/>
              <w:rPr>
                <w:sz w:val="18"/>
                <w:szCs w:val="18"/>
              </w:rPr>
            </w:pPr>
            <w:r w:rsidDel="00000000" w:rsidR="00000000" w:rsidRPr="00000000">
              <w:rPr>
                <w:sz w:val="18"/>
                <w:szCs w:val="18"/>
                <w:rtl w:val="0"/>
              </w:rPr>
              <w:t xml:space="preserve">0.4722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A">
            <w:pPr>
              <w:widowControl w:val="0"/>
              <w:spacing w:line="240" w:lineRule="auto"/>
              <w:jc w:val="center"/>
              <w:rPr>
                <w:sz w:val="18"/>
                <w:szCs w:val="18"/>
              </w:rPr>
            </w:pPr>
            <w:r w:rsidDel="00000000" w:rsidR="00000000" w:rsidRPr="00000000">
              <w:rPr>
                <w:sz w:val="18"/>
                <w:szCs w:val="18"/>
                <w:rtl w:val="0"/>
              </w:rPr>
              <w:t xml:space="preserve">0.6119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B">
            <w:pPr>
              <w:widowControl w:val="0"/>
              <w:spacing w:line="240" w:lineRule="auto"/>
              <w:jc w:val="center"/>
              <w:rPr>
                <w:sz w:val="18"/>
                <w:szCs w:val="18"/>
              </w:rPr>
            </w:pPr>
            <w:r w:rsidDel="00000000" w:rsidR="00000000" w:rsidRPr="00000000">
              <w:rPr>
                <w:sz w:val="18"/>
                <w:szCs w:val="18"/>
                <w:rtl w:val="0"/>
              </w:rPr>
              <w:t xml:space="preserve">0.4861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0.3981</w:t>
            </w:r>
          </w:p>
        </w:tc>
      </w:tr>
      <w:tr>
        <w:trPr>
          <w:trHeight w:val="420" w:hRule="atLeast"/>
        </w:trPr>
        <w:tc>
          <w:tcPr>
            <w:gridSpan w:val="7"/>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b w:val="1"/>
                <w:sz w:val="18"/>
                <w:szCs w:val="18"/>
              </w:rPr>
            </w:pPr>
            <w:r w:rsidDel="00000000" w:rsidR="00000000" w:rsidRPr="00000000">
              <w:rPr>
                <w:b w:val="1"/>
                <w:sz w:val="18"/>
                <w:szCs w:val="18"/>
                <w:rtl w:val="0"/>
              </w:rPr>
              <w:t xml:space="preserve">Model Parameters</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4">
            <w:pPr>
              <w:widowControl w:val="0"/>
              <w:spacing w:line="240" w:lineRule="auto"/>
              <w:jc w:val="left"/>
              <w:rPr>
                <w:b w:val="1"/>
                <w:sz w:val="18"/>
                <w:szCs w:val="18"/>
              </w:rPr>
            </w:pPr>
            <w:r w:rsidDel="00000000" w:rsidR="00000000" w:rsidRPr="00000000">
              <w:rPr>
                <w:b w:val="1"/>
                <w:sz w:val="18"/>
                <w:szCs w:val="18"/>
                <w:rtl w:val="0"/>
              </w:rPr>
              <w:t xml:space="preserve">C value</w:t>
            </w:r>
          </w:p>
          <w:p w:rsidR="00000000" w:rsidDel="00000000" w:rsidP="00000000" w:rsidRDefault="00000000" w:rsidRPr="00000000" w14:paraId="00000055">
            <w:pPr>
              <w:widowControl w:val="0"/>
              <w:spacing w:line="240" w:lineRule="auto"/>
              <w:jc w:val="left"/>
              <w:rPr>
                <w:sz w:val="18"/>
                <w:szCs w:val="18"/>
              </w:rPr>
            </w:pPr>
            <w:r w:rsidDel="00000000" w:rsidR="00000000" w:rsidRPr="00000000">
              <w:rPr>
                <w:sz w:val="18"/>
                <w:szCs w:val="18"/>
                <w:rtl w:val="0"/>
              </w:rPr>
              <w:t xml:space="preserve">Logistic Regression (L2)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100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widowControl w:val="0"/>
              <w:spacing w:line="240" w:lineRule="auto"/>
              <w:jc w:val="center"/>
              <w:rPr>
                <w:sz w:val="18"/>
                <w:szCs w:val="18"/>
              </w:rPr>
            </w:pPr>
            <w:r w:rsidDel="00000000" w:rsidR="00000000" w:rsidRPr="00000000">
              <w:rPr>
                <w:sz w:val="18"/>
                <w:szCs w:val="18"/>
                <w:rtl w:val="0"/>
              </w:rPr>
              <w:t xml:space="preserve">10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widowControl w:val="0"/>
              <w:spacing w:line="240" w:lineRule="auto"/>
              <w:jc w:val="left"/>
              <w:rPr>
                <w:b w:val="1"/>
                <w:sz w:val="18"/>
                <w:szCs w:val="18"/>
              </w:rPr>
            </w:pPr>
            <w:r w:rsidDel="00000000" w:rsidR="00000000" w:rsidRPr="00000000">
              <w:rPr>
                <w:b w:val="1"/>
                <w:sz w:val="18"/>
                <w:szCs w:val="18"/>
                <w:rtl w:val="0"/>
              </w:rPr>
              <w:t xml:space="preserve">C value</w:t>
            </w:r>
          </w:p>
          <w:p w:rsidR="00000000" w:rsidDel="00000000" w:rsidP="00000000" w:rsidRDefault="00000000" w:rsidRPr="00000000" w14:paraId="0000005D">
            <w:pPr>
              <w:widowControl w:val="0"/>
              <w:spacing w:line="240" w:lineRule="auto"/>
              <w:jc w:val="left"/>
              <w:rPr>
                <w:b w:val="1"/>
                <w:sz w:val="18"/>
                <w:szCs w:val="18"/>
              </w:rPr>
            </w:pPr>
            <w:r w:rsidDel="00000000" w:rsidR="00000000" w:rsidRPr="00000000">
              <w:rPr>
                <w:sz w:val="18"/>
                <w:szCs w:val="18"/>
                <w:rtl w:val="0"/>
              </w:rPr>
              <w:t xml:space="preserve">LinearSVM </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0.1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0.1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2">
            <w:pPr>
              <w:widowControl w:val="0"/>
              <w:spacing w:line="240" w:lineRule="auto"/>
              <w:jc w:val="center"/>
              <w:rPr>
                <w:sz w:val="18"/>
                <w:szCs w:val="18"/>
              </w:rPr>
            </w:pPr>
            <w:r w:rsidDel="00000000" w:rsidR="00000000" w:rsidRPr="00000000">
              <w:rPr>
                <w:sz w:val="18"/>
                <w:szCs w:val="18"/>
                <w:rtl w:val="0"/>
              </w:rPr>
              <w:t xml:space="preserve">0.1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widowControl w:val="0"/>
              <w:spacing w:line="240" w:lineRule="auto"/>
              <w:jc w:val="center"/>
              <w:rPr>
                <w:sz w:val="18"/>
                <w:szCs w:val="18"/>
              </w:rPr>
            </w:pPr>
            <w:r w:rsidDel="00000000" w:rsidR="00000000" w:rsidRPr="00000000">
              <w:rPr>
                <w:sz w:val="18"/>
                <w:szCs w:val="18"/>
                <w:rtl w:val="0"/>
              </w:rPr>
              <w:t xml:space="preserve">0.1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4">
            <w:pPr>
              <w:widowControl w:val="0"/>
              <w:spacing w:line="240" w:lineRule="auto"/>
              <w:jc w:val="left"/>
              <w:rPr>
                <w:b w:val="1"/>
                <w:sz w:val="18"/>
                <w:szCs w:val="18"/>
              </w:rPr>
            </w:pPr>
            <w:r w:rsidDel="00000000" w:rsidR="00000000" w:rsidRPr="00000000">
              <w:rPr>
                <w:b w:val="1"/>
                <w:sz w:val="18"/>
                <w:szCs w:val="18"/>
                <w:rtl w:val="0"/>
              </w:rPr>
              <w:t xml:space="preserve">Number of Trees</w:t>
            </w:r>
          </w:p>
          <w:p w:rsidR="00000000" w:rsidDel="00000000" w:rsidP="00000000" w:rsidRDefault="00000000" w:rsidRPr="00000000" w14:paraId="00000065">
            <w:pPr>
              <w:widowControl w:val="0"/>
              <w:spacing w:line="240" w:lineRule="auto"/>
              <w:jc w:val="left"/>
              <w:rPr>
                <w:b w:val="1"/>
                <w:sz w:val="18"/>
                <w:szCs w:val="18"/>
              </w:rPr>
            </w:pPr>
            <w:r w:rsidDel="00000000" w:rsidR="00000000" w:rsidRPr="00000000">
              <w:rPr>
                <w:sz w:val="18"/>
                <w:szCs w:val="18"/>
                <w:rtl w:val="0"/>
              </w:rPr>
              <w:t xml:space="preserve">RandomForest</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32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widowControl w:val="0"/>
              <w:spacing w:line="240" w:lineRule="auto"/>
              <w:jc w:val="center"/>
              <w:rPr>
                <w:sz w:val="18"/>
                <w:szCs w:val="18"/>
              </w:rPr>
            </w:pPr>
            <w:r w:rsidDel="00000000" w:rsidR="00000000" w:rsidRPr="00000000">
              <w:rPr>
                <w:sz w:val="18"/>
                <w:szCs w:val="18"/>
                <w:rtl w:val="0"/>
              </w:rPr>
              <w:t xml:space="preserve">16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widowControl w:val="0"/>
              <w:spacing w:line="240" w:lineRule="auto"/>
              <w:jc w:val="center"/>
              <w:rPr>
                <w:sz w:val="18"/>
                <w:szCs w:val="18"/>
              </w:rPr>
            </w:pPr>
            <w:r w:rsidDel="00000000" w:rsidR="00000000" w:rsidRPr="00000000">
              <w:rPr>
                <w:sz w:val="18"/>
                <w:szCs w:val="18"/>
                <w:rtl w:val="0"/>
              </w:rPr>
              <w:t xml:space="preserve">16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widowControl w:val="0"/>
              <w:spacing w:line="240" w:lineRule="auto"/>
              <w:jc w:val="center"/>
              <w:rPr>
                <w:sz w:val="18"/>
                <w:szCs w:val="18"/>
              </w:rPr>
            </w:pPr>
            <w:r w:rsidDel="00000000" w:rsidR="00000000" w:rsidRPr="00000000">
              <w:rPr>
                <w:sz w:val="18"/>
                <w:szCs w:val="18"/>
                <w:rtl w:val="0"/>
              </w:rPr>
              <w:t xml:space="preserve">16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widowControl w:val="0"/>
              <w:spacing w:line="240" w:lineRule="auto"/>
              <w:jc w:val="center"/>
              <w:rPr>
                <w:sz w:val="18"/>
                <w:szCs w:val="18"/>
              </w:rPr>
            </w:pPr>
            <w:r w:rsidDel="00000000" w:rsidR="00000000" w:rsidRPr="00000000">
              <w:rPr>
                <w:sz w:val="18"/>
                <w:szCs w:val="18"/>
                <w:rtl w:val="0"/>
              </w:rPr>
              <w:t xml:space="preserve">16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widowControl w:val="0"/>
              <w:spacing w:line="240" w:lineRule="auto"/>
              <w:jc w:val="center"/>
              <w:rPr>
                <w:sz w:val="18"/>
                <w:szCs w:val="18"/>
              </w:rPr>
            </w:pPr>
            <w:r w:rsidDel="00000000" w:rsidR="00000000" w:rsidRPr="00000000">
              <w:rPr>
                <w:sz w:val="18"/>
                <w:szCs w:val="18"/>
                <w:rtl w:val="0"/>
              </w:rPr>
              <w:t xml:space="preserve">16</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C">
            <w:pPr>
              <w:widowControl w:val="0"/>
              <w:spacing w:line="240" w:lineRule="auto"/>
              <w:jc w:val="left"/>
              <w:rPr>
                <w:b w:val="1"/>
                <w:sz w:val="18"/>
                <w:szCs w:val="18"/>
              </w:rPr>
            </w:pPr>
            <w:r w:rsidDel="00000000" w:rsidR="00000000" w:rsidRPr="00000000">
              <w:rPr>
                <w:b w:val="1"/>
                <w:sz w:val="18"/>
                <w:szCs w:val="18"/>
                <w:rtl w:val="0"/>
              </w:rPr>
              <w:t xml:space="preserve">Max depth</w:t>
            </w:r>
          </w:p>
          <w:p w:rsidR="00000000" w:rsidDel="00000000" w:rsidP="00000000" w:rsidRDefault="00000000" w:rsidRPr="00000000" w14:paraId="0000006D">
            <w:pPr>
              <w:widowControl w:val="0"/>
              <w:spacing w:line="240" w:lineRule="auto"/>
              <w:jc w:val="left"/>
              <w:rPr>
                <w:b w:val="1"/>
                <w:sz w:val="18"/>
                <w:szCs w:val="18"/>
              </w:rPr>
            </w:pPr>
            <w:r w:rsidDel="00000000" w:rsidR="00000000" w:rsidRPr="00000000">
              <w:rPr>
                <w:sz w:val="18"/>
                <w:szCs w:val="18"/>
                <w:rtl w:val="0"/>
              </w:rPr>
              <w:t xml:space="preserve">RandomForest</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9</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F">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1">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4</w:t>
            </w:r>
          </w:p>
        </w:tc>
      </w:tr>
    </w:tbl>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after="200" w:before="200" w:line="240" w:lineRule="auto"/>
        <w:rPr/>
      </w:pPr>
      <w:r w:rsidDel="00000000" w:rsidR="00000000" w:rsidRPr="00000000">
        <w:rPr>
          <w:rtl w:val="0"/>
        </w:rPr>
        <w:t xml:space="preserve">PART 1: POINT-IN-TIME (PIT) MODELS</w:t>
      </w:r>
    </w:p>
    <w:p w:rsidR="00000000" w:rsidDel="00000000" w:rsidP="00000000" w:rsidRDefault="00000000" w:rsidRPr="00000000" w14:paraId="00000076">
      <w:pPr>
        <w:spacing w:line="240" w:lineRule="auto"/>
        <w:ind w:firstLine="720"/>
        <w:rPr/>
      </w:pPr>
      <w:r w:rsidDel="00000000" w:rsidR="00000000" w:rsidRPr="00000000">
        <w:rPr>
          <w:rtl w:val="0"/>
        </w:rPr>
        <w:t xml:space="preserve">In this first set of models, we use</w:t>
      </w:r>
      <w:r w:rsidDel="00000000" w:rsidR="00000000" w:rsidRPr="00000000">
        <w:rPr>
          <w:rtl w:val="0"/>
        </w:rPr>
        <w:t xml:space="preserve"> 2015 PIT census data as our features and the 2015 - 2020 assessment value growth classification labels as our target. We partition the data using a 90/10 train/test split ratio and 10 fold cross validation to tune the model parameters for all three algorithms.</w:t>
      </w:r>
    </w:p>
    <w:p w:rsidR="00000000" w:rsidDel="00000000" w:rsidP="00000000" w:rsidRDefault="00000000" w:rsidRPr="00000000" w14:paraId="00000077">
      <w:pPr>
        <w:spacing w:line="240" w:lineRule="auto"/>
        <w:ind w:firstLine="720"/>
        <w:rPr/>
      </w:pPr>
      <w:r w:rsidDel="00000000" w:rsidR="00000000" w:rsidRPr="00000000">
        <w:rPr>
          <w:rtl w:val="0"/>
        </w:rPr>
        <w:t xml:space="preserve">In each of our Baseline, Feature Selected and Reduced Dimensionality experiments with the PIT dataset, RFs significantly outperformed LR and LinearSVM models. Our best-performing RF model achieved an F1-score of 0.5833 with 16 trees and maximum depth of 4 running on a SelectKBest feature-selected columns space of dimension 190. The top 10 features in the RF model were (1) the percent of housing stock with 5-9 housing units each, (2) the percent of adults with less than a 9th grade education, (3) the percent of the population aged 15-19, (4) the percent of housing stock with 3-4 housing units, (5) the percent of housing units with 3 rooms, (6) the percent of housing stock with 2 housing units each, (7) the percent of households with income </w:t>
      </w:r>
      <w:r w:rsidDel="00000000" w:rsidR="00000000" w:rsidRPr="00000000">
        <w:rPr>
          <w:u w:val="single"/>
          <w:rtl w:val="0"/>
        </w:rPr>
        <w:t xml:space="preserve">&gt;</w:t>
      </w:r>
      <w:r w:rsidDel="00000000" w:rsidR="00000000" w:rsidRPr="00000000">
        <w:rPr>
          <w:rtl w:val="0"/>
        </w:rPr>
        <w:t xml:space="preserve"> $200,000, (8) the percent of housing stock with 20 or more housing units each, (9) the percent of working adults who drove to work alone, and (10) the percent of housing units built from 1970-1979. </w:t>
      </w:r>
    </w:p>
    <w:p w:rsidR="00000000" w:rsidDel="00000000" w:rsidP="00000000" w:rsidRDefault="00000000" w:rsidRPr="00000000" w14:paraId="00000078">
      <w:pPr>
        <w:spacing w:line="240" w:lineRule="auto"/>
        <w:ind w:firstLine="720"/>
        <w:rPr/>
      </w:pPr>
      <w:r w:rsidDel="00000000" w:rsidR="00000000" w:rsidRPr="00000000">
        <w:rPr>
          <w:rtl w:val="0"/>
        </w:rPr>
        <w:t xml:space="preserve">With a reasonably high F1-score and top features that broadly capture some of our intuition for the problem space, this model had relatively low false positive and false negative rates of 16.7% and 16.0%, respectively (from the perspective of identifying high-growth neighborhoods). Examining the model’s errors more granularly, we found that 63% of the model’s false positives came from miscategorizing 2s (moderate growth) as 1s (high growth). Similarly, 77% of its false negatives came from miscategorizing 1s as 2s. Intuitively it makes sense that the bulk of the errors come from adjacent classifications, as compared to a misclassification from 3s to 1s or vice-versa.</w:t>
      </w:r>
    </w:p>
    <w:p w:rsidR="00000000" w:rsidDel="00000000" w:rsidP="00000000" w:rsidRDefault="00000000" w:rsidRPr="00000000" w14:paraId="00000079">
      <w:pPr>
        <w:spacing w:line="240" w:lineRule="auto"/>
        <w:ind w:firstLine="720"/>
        <w:rPr/>
      </w:pPr>
      <w:r w:rsidDel="00000000" w:rsidR="00000000" w:rsidRPr="00000000">
        <w:rPr>
          <w:rtl w:val="0"/>
        </w:rPr>
      </w:r>
    </w:p>
    <w:p w:rsidR="00000000" w:rsidDel="00000000" w:rsidP="00000000" w:rsidRDefault="00000000" w:rsidRPr="00000000" w14:paraId="0000007A">
      <w:pPr>
        <w:spacing w:after="200" w:before="200" w:line="240" w:lineRule="auto"/>
        <w:rPr/>
      </w:pPr>
      <w:r w:rsidDel="00000000" w:rsidR="00000000" w:rsidRPr="00000000">
        <w:rPr>
          <w:rtl w:val="0"/>
        </w:rPr>
        <w:t xml:space="preserve">PART 2: COMPOUND ANNUAL GROWTH RATE (CAGR) MODELS</w:t>
      </w:r>
    </w:p>
    <w:p w:rsidR="00000000" w:rsidDel="00000000" w:rsidP="00000000" w:rsidRDefault="00000000" w:rsidRPr="00000000" w14:paraId="0000007B">
      <w:pPr>
        <w:spacing w:line="240" w:lineRule="auto"/>
        <w:ind w:firstLine="720"/>
        <w:rPr/>
      </w:pPr>
      <w:r w:rsidDel="00000000" w:rsidR="00000000" w:rsidRPr="00000000">
        <w:rPr>
          <w:rtl w:val="0"/>
        </w:rPr>
        <w:t xml:space="preserve">To</w:t>
      </w:r>
      <w:r w:rsidDel="00000000" w:rsidR="00000000" w:rsidRPr="00000000">
        <w:rPr>
          <w:rtl w:val="0"/>
        </w:rPr>
        <w:t xml:space="preserve"> investigate whether the temporal element of feature generation makes for a better predictor of assessment value growth, in the second group of models we use the 2011- 2015 CAGR values as the model features. Once again, we create a 90/10 train/test split, 10 fold cross validation and fit the training data to the same models utilized on the PIT dataset, with the same target of the 2015 - 2020 assessment value growth profile.</w:t>
      </w:r>
    </w:p>
    <w:p w:rsidR="00000000" w:rsidDel="00000000" w:rsidP="00000000" w:rsidRDefault="00000000" w:rsidRPr="00000000" w14:paraId="0000007C">
      <w:pPr>
        <w:spacing w:line="240" w:lineRule="auto"/>
        <w:ind w:firstLine="720"/>
        <w:rPr/>
      </w:pPr>
      <w:r w:rsidDel="00000000" w:rsidR="00000000" w:rsidRPr="00000000">
        <w:rPr>
          <w:rtl w:val="0"/>
        </w:rPr>
        <w:t xml:space="preserve">Our best-performing model on the CAGR was a RF that achieved an F1-score of 0.6119 with 16 trees and maximum depth of 10 running on the baseline column-space of dimension 321. The top 10 features are discussed in the following section. </w:t>
      </w:r>
    </w:p>
    <w:p w:rsidR="00000000" w:rsidDel="00000000" w:rsidP="00000000" w:rsidRDefault="00000000" w:rsidRPr="00000000" w14:paraId="0000007D">
      <w:pPr>
        <w:spacing w:line="240" w:lineRule="auto"/>
        <w:rPr/>
      </w:pPr>
      <w:r w:rsidDel="00000000" w:rsidR="00000000" w:rsidRPr="00000000">
        <w:rPr>
          <w:rtl w:val="0"/>
        </w:rPr>
        <w:tab/>
        <w:t xml:space="preserve">In terms of errors, this model was broadly consistent with the feature-selected PIT model, with false positive and false negative rates of 17.3% and 16%, respectively. It also exhibited similarly outsized miscategorizations of 2s to 1s and 1s to 2s as the feature-selected PIT model. Interestingly, our LR, LinearSVC and RF models trained on the baseline CAGR data exhibited virtually identical error profiles. Moreover, they all miscategorized the same neighborhoods in exactly the same way, as demonstrated by selected examples below:</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FIGURE 3. ERROR ANALYSIS</w:t>
      </w:r>
    </w:p>
    <w:p w:rsidR="00000000" w:rsidDel="00000000" w:rsidP="00000000" w:rsidRDefault="00000000" w:rsidRPr="00000000" w14:paraId="00000080">
      <w:pPr>
        <w:spacing w:line="240" w:lineRule="auto"/>
        <w:jc w:val="left"/>
        <w:rPr/>
      </w:pPr>
      <w:r w:rsidDel="00000000" w:rsidR="00000000" w:rsidRPr="00000000">
        <w:rPr/>
        <w:drawing>
          <wp:inline distB="114300" distT="114300" distL="114300" distR="114300">
            <wp:extent cx="4260850" cy="1666506"/>
            <wp:effectExtent b="0" l="0" r="0" t="0"/>
            <wp:docPr id="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60850" cy="166650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ind w:left="0" w:firstLine="0"/>
        <w:rPr/>
      </w:pPr>
      <w:r w:rsidDel="00000000" w:rsidR="00000000" w:rsidRPr="00000000">
        <w:rPr>
          <w:rtl w:val="0"/>
        </w:rPr>
        <w:t xml:space="preserve">Given the different approaches taken by each of our three learning models, this pattern gives us comfort in our experimental setup and modelling exercises.</w:t>
      </w:r>
    </w:p>
    <w:p w:rsidR="00000000" w:rsidDel="00000000" w:rsidP="00000000" w:rsidRDefault="00000000" w:rsidRPr="00000000" w14:paraId="00000083">
      <w:pPr>
        <w:pStyle w:val="Heading3"/>
        <w:numPr>
          <w:ilvl w:val="0"/>
          <w:numId w:val="1"/>
        </w:numPr>
        <w:shd w:fill="ffffff" w:val="clear"/>
        <w:spacing w:after="200" w:line="240" w:lineRule="auto"/>
        <w:ind w:left="720" w:hanging="360"/>
        <w:rPr>
          <w:color w:val="000000"/>
          <w:sz w:val="24"/>
          <w:szCs w:val="24"/>
        </w:rPr>
      </w:pPr>
      <w:bookmarkStart w:colFirst="0" w:colLast="0" w:name="_58oln8ldghyc" w:id="10"/>
      <w:bookmarkEnd w:id="10"/>
      <w:r w:rsidDel="00000000" w:rsidR="00000000" w:rsidRPr="00000000">
        <w:rPr>
          <w:color w:val="000000"/>
          <w:sz w:val="24"/>
          <w:szCs w:val="24"/>
          <w:rtl w:val="0"/>
        </w:rPr>
        <w:t xml:space="preserve">DISCUSSION AND PRIOR WORK</w:t>
      </w:r>
      <w:r w:rsidDel="00000000" w:rsidR="00000000" w:rsidRPr="00000000">
        <w:rPr>
          <w:rtl w:val="0"/>
        </w:rPr>
      </w:r>
    </w:p>
    <w:p w:rsidR="00000000" w:rsidDel="00000000" w:rsidP="00000000" w:rsidRDefault="00000000" w:rsidRPr="00000000" w14:paraId="00000084">
      <w:pPr>
        <w:spacing w:line="240" w:lineRule="auto"/>
        <w:ind w:firstLine="720"/>
        <w:jc w:val="both"/>
        <w:rPr>
          <w:highlight w:val="yellow"/>
        </w:rPr>
      </w:pPr>
      <w:r w:rsidDel="00000000" w:rsidR="00000000" w:rsidRPr="00000000">
        <w:rPr>
          <w:rtl w:val="0"/>
        </w:rPr>
        <w:t xml:space="preserve">Looking at our strongest model, CAGR baseline using RF algorithm, our findings suggest that the top ten variables that are the strongest predictors of neighborhood change include the compound annual growth rate of: (1) population younger than 5, (2) population that identifies as both white and Asian, (3) </w:t>
      </w:r>
      <w:r w:rsidDel="00000000" w:rsidR="00000000" w:rsidRPr="00000000">
        <w:rPr>
          <w:sz w:val="21"/>
          <w:szCs w:val="21"/>
          <w:highlight w:val="white"/>
          <w:rtl w:val="0"/>
        </w:rPr>
        <w:t xml:space="preserve">housing stock with 5 rooms, (4) adult population with a g</w:t>
      </w:r>
      <w:r w:rsidDel="00000000" w:rsidR="00000000" w:rsidRPr="00000000">
        <w:rPr>
          <w:sz w:val="21"/>
          <w:szCs w:val="21"/>
          <w:highlight w:val="white"/>
          <w:rtl w:val="0"/>
        </w:rPr>
        <w:t xml:space="preserve">raduate or professional degree, (5) population born in the U.S. but not in New York, (6) population with nonrelatives in household, (7) married female population, (8) population with “white collar” jobs, (9) housing units with a mortgage, and (10) population considered to be housing insecure.</w:t>
      </w:r>
      <w:r w:rsidDel="00000000" w:rsidR="00000000" w:rsidRPr="00000000">
        <w:rPr>
          <w:rtl w:val="0"/>
        </w:rPr>
      </w:r>
    </w:p>
    <w:p w:rsidR="00000000" w:rsidDel="00000000" w:rsidP="00000000" w:rsidRDefault="00000000" w:rsidRPr="00000000" w14:paraId="00000085">
      <w:pPr>
        <w:spacing w:line="240" w:lineRule="auto"/>
        <w:ind w:firstLine="720"/>
        <w:jc w:val="both"/>
        <w:rPr/>
      </w:pPr>
      <w:r w:rsidDel="00000000" w:rsidR="00000000" w:rsidRPr="00000000">
        <w:rPr>
          <w:rtl w:val="0"/>
        </w:rPr>
        <w:t xml:space="preserve">Prior work approaches the predictive model with a set of features beforehand. For instance, in the UDP study, they believe the following factors are indicative of gentrification risk: (1) high share of  low-income households, (2) high share  of  renters, (3) high share of  non-white  population, (4) low share  of with-collage degree population, (5) comparatively low housing values and rents, (6) high housing  values and/or rents growth, (7) high architectural value, (8) proximity to transit, and (9) longitudinal  change of  the above.</w:t>
      </w:r>
    </w:p>
    <w:p w:rsidR="00000000" w:rsidDel="00000000" w:rsidP="00000000" w:rsidRDefault="00000000" w:rsidRPr="00000000" w14:paraId="00000086">
      <w:pPr>
        <w:spacing w:line="240" w:lineRule="auto"/>
        <w:ind w:firstLine="720"/>
        <w:jc w:val="both"/>
        <w:rPr/>
      </w:pPr>
      <w:r w:rsidDel="00000000" w:rsidR="00000000" w:rsidRPr="00000000">
        <w:rPr>
          <w:rtl w:val="0"/>
        </w:rPr>
        <w:t xml:space="preserve">Although the two lists do not perfectly mirror one another, there are clear parallels (e.g. (5) our list and (4) in UDP’s, etc.). It is also important to note that the most important features we listed above essentially unaltered from how they are listed in the Census format, while several UDP’s are somewhat more saturated with information (e.g. “high architectural value,” etc.). Moreover, the 10 features we listed above are only a small portion of the features identified by our broader modelling effort. When all models / data regimes are considered, our most important features easily encompass those identified by UDP.   </w:t>
      </w:r>
    </w:p>
    <w:p w:rsidR="00000000" w:rsidDel="00000000" w:rsidP="00000000" w:rsidRDefault="00000000" w:rsidRPr="00000000" w14:paraId="00000087">
      <w:pPr>
        <w:spacing w:line="240" w:lineRule="auto"/>
        <w:ind w:firstLine="720"/>
        <w:jc w:val="both"/>
        <w:rPr/>
      </w:pPr>
      <w:r w:rsidDel="00000000" w:rsidR="00000000" w:rsidRPr="00000000">
        <w:rPr>
          <w:rtl w:val="0"/>
        </w:rPr>
        <w:t xml:space="preserve">Our findings provide information that can help researchers and policy makers identify the ways in which neighborhoods are expected to change in the future and enable them to counteract negative impacts of expected high growth on low income households or similarly prevent sliding values in stagnating neighborhoods where impacts might be most significant.</w:t>
      </w:r>
    </w:p>
    <w:p w:rsidR="00000000" w:rsidDel="00000000" w:rsidP="00000000" w:rsidRDefault="00000000" w:rsidRPr="00000000" w14:paraId="00000088">
      <w:pPr>
        <w:spacing w:line="240" w:lineRule="auto"/>
        <w:ind w:firstLine="720"/>
        <w:rPr/>
      </w:pPr>
      <w:r w:rsidDel="00000000" w:rsidR="00000000" w:rsidRPr="00000000">
        <w:rPr>
          <w:rtl w:val="0"/>
        </w:rPr>
        <w:t xml:space="preserve">However, using only this data set, we might be overestimating the impact of socioeconomic, demographic, and housing variables on assessment values. This may result from exogenous factors that impact property values, such as interest rates, mortgage availability and stock prices that are not incorporated into the census data. Further, these variables change in real time whereas the census data used is a 5-year average. A second limitation of this study is that census data years do not align perfectly with the assessment value years as the release of census data is typically delayed by a year. A third limitation is that assessment values in NYC are not synonymous with market values. The calculation of assessment values differs by tax class and is bounded by limitations on assessment increases year over year. </w:t>
      </w:r>
    </w:p>
    <w:p w:rsidR="00000000" w:rsidDel="00000000" w:rsidP="00000000" w:rsidRDefault="00000000" w:rsidRPr="00000000" w14:paraId="00000089">
      <w:pPr>
        <w:pStyle w:val="Heading3"/>
        <w:numPr>
          <w:ilvl w:val="0"/>
          <w:numId w:val="1"/>
        </w:numPr>
        <w:shd w:fill="ffffff" w:val="clear"/>
        <w:spacing w:after="200" w:line="240" w:lineRule="auto"/>
        <w:ind w:left="720" w:hanging="360"/>
        <w:rPr>
          <w:color w:val="000000"/>
        </w:rPr>
      </w:pPr>
      <w:bookmarkStart w:colFirst="0" w:colLast="0" w:name="_m0sqcxi8hb6k" w:id="11"/>
      <w:bookmarkEnd w:id="11"/>
      <w:r w:rsidDel="00000000" w:rsidR="00000000" w:rsidRPr="00000000">
        <w:rPr>
          <w:color w:val="000000"/>
          <w:sz w:val="24"/>
          <w:szCs w:val="24"/>
          <w:rtl w:val="0"/>
        </w:rPr>
        <w:t xml:space="preserve">CONCLUSION</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8A">
      <w:pPr>
        <w:spacing w:line="240" w:lineRule="auto"/>
        <w:ind w:firstLine="720"/>
        <w:rPr/>
      </w:pPr>
      <w:r w:rsidDel="00000000" w:rsidR="00000000" w:rsidRPr="00000000">
        <w:rPr>
          <w:rtl w:val="0"/>
        </w:rPr>
        <w:t xml:space="preserve">Socioeconomic, demographic and housing indicators can predict changes in neighborhood property assessment values. In NYC our model was able to accurately classify </w:t>
      </w:r>
      <w:r w:rsidDel="00000000" w:rsidR="00000000" w:rsidRPr="00000000">
        <w:rPr>
          <w:rtl w:val="0"/>
        </w:rPr>
        <w:t xml:space="preserve">61</w:t>
      </w:r>
      <w:r w:rsidDel="00000000" w:rsidR="00000000" w:rsidRPr="00000000">
        <w:rPr>
          <w:rtl w:val="0"/>
        </w:rPr>
        <w:t xml:space="preserve">% of the zip codes based on those indicators alone. This demonstrates that researchers and policy makers should explore the use of machine learning algorithms for understanding future neighborhood changes in their city. </w:t>
      </w:r>
    </w:p>
    <w:p w:rsidR="00000000" w:rsidDel="00000000" w:rsidP="00000000" w:rsidRDefault="00000000" w:rsidRPr="00000000" w14:paraId="0000008B">
      <w:pPr>
        <w:spacing w:line="240" w:lineRule="auto"/>
        <w:ind w:left="0" w:firstLine="720"/>
        <w:jc w:val="both"/>
        <w:rPr/>
      </w:pPr>
      <w:r w:rsidDel="00000000" w:rsidR="00000000" w:rsidRPr="00000000">
        <w:rPr>
          <w:rtl w:val="0"/>
        </w:rPr>
        <w:t xml:space="preserve">Further research can build on our work by incorporating additional property and building variables into the feature set, experimenting with different classification thresholds, incorporating market valuation data as the target replacing assessment data, and considering other types of models such as regression (to predict the percent change in values). One extension we hope to see is the application of this model to 2018 census data to predict the neighborhood valuation growth rates in 2025. A second extension we would like to do is deeper error analysis by looking at how the data values for the misclassified zip codes compared to the correctly classified zip codes. </w:t>
      </w:r>
    </w:p>
    <w:p w:rsidR="00000000" w:rsidDel="00000000" w:rsidP="00000000" w:rsidRDefault="00000000" w:rsidRPr="00000000" w14:paraId="0000008C">
      <w:pPr>
        <w:spacing w:line="240" w:lineRule="auto"/>
        <w:ind w:left="0" w:firstLine="720"/>
        <w:jc w:val="both"/>
        <w:rPr/>
      </w:pPr>
      <w:r w:rsidDel="00000000" w:rsidR="00000000" w:rsidRPr="00000000">
        <w:rPr>
          <w:rtl w:val="0"/>
        </w:rPr>
        <w:t xml:space="preserve">With large portions of Manhattan and Brooklyn already reaching their limits of development, property developers are forced to widen their search radius. However, this action is not free from unintended consequences. When real estate companies develop high-value properties in previously lower-income neighborhoods, existing residents are either displaced or face other economic pressures. </w:t>
      </w:r>
      <w:r w:rsidDel="00000000" w:rsidR="00000000" w:rsidRPr="00000000">
        <w:rPr>
          <w:rtl w:val="0"/>
        </w:rPr>
        <w:t xml:space="preserve">In order to implement anti-displacement and equitable development strategies, the city needs to act ahead of time to tackle the swift forces.</w:t>
      </w:r>
      <w:r w:rsidDel="00000000" w:rsidR="00000000" w:rsidRPr="00000000">
        <w:rPr>
          <w:rtl w:val="0"/>
        </w:rPr>
        <w:t xml:space="preserve"> With the </w:t>
      </w:r>
      <w:r w:rsidDel="00000000" w:rsidR="00000000" w:rsidRPr="00000000">
        <w:rPr>
          <w:rtl w:val="0"/>
        </w:rPr>
        <w:t xml:space="preserve">information provided/research</w:t>
      </w:r>
      <w:r w:rsidDel="00000000" w:rsidR="00000000" w:rsidRPr="00000000">
        <w:rPr>
          <w:rtl w:val="0"/>
        </w:rPr>
        <w:t xml:space="preserve"> conducted in this paper city officials can begin to understand what leads to gentrification and implement the measures they see fit.</w:t>
      </w:r>
    </w:p>
    <w:p w:rsidR="00000000" w:rsidDel="00000000" w:rsidP="00000000" w:rsidRDefault="00000000" w:rsidRPr="00000000" w14:paraId="0000008D">
      <w:pPr>
        <w:spacing w:line="240" w:lineRule="auto"/>
        <w:rPr>
          <w:i w:val="1"/>
        </w:rPr>
      </w:pPr>
      <w:r w:rsidDel="00000000" w:rsidR="00000000" w:rsidRPr="00000000">
        <w:rPr>
          <w:rtl w:val="0"/>
        </w:rPr>
      </w:r>
    </w:p>
    <w:p w:rsidR="00000000" w:rsidDel="00000000" w:rsidP="00000000" w:rsidRDefault="00000000" w:rsidRPr="00000000" w14:paraId="0000008E">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rPr>
          <w:color w:val="000000"/>
          <w:sz w:val="24"/>
          <w:szCs w:val="24"/>
        </w:rPr>
      </w:pPr>
      <w:bookmarkStart w:colFirst="0" w:colLast="0" w:name="_nfbpdrd6x9ks" w:id="12"/>
      <w:bookmarkEnd w:id="12"/>
      <w:r w:rsidDel="00000000" w:rsidR="00000000" w:rsidRPr="00000000">
        <w:rPr>
          <w:color w:val="000000"/>
          <w:sz w:val="24"/>
          <w:szCs w:val="24"/>
          <w:rtl w:val="0"/>
        </w:rPr>
        <w:t xml:space="preserve">REFERENCES</w:t>
      </w: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tl w:val="0"/>
        </w:rPr>
      </w:r>
    </w:p>
    <w:p w:rsidR="00000000" w:rsidDel="00000000" w:rsidP="00000000" w:rsidRDefault="00000000" w:rsidRPr="00000000" w14:paraId="00000091">
      <w:pPr>
        <w:spacing w:line="240" w:lineRule="auto"/>
        <w:jc w:val="both"/>
        <w:rPr/>
      </w:pPr>
      <w:r w:rsidDel="00000000" w:rsidR="00000000" w:rsidRPr="00000000">
        <w:rPr>
          <w:rtl w:val="0"/>
        </w:rPr>
        <w:t xml:space="preserve">[1] </w:t>
      </w:r>
      <w:hyperlink r:id="rId10">
        <w:r w:rsidDel="00000000" w:rsidR="00000000" w:rsidRPr="00000000">
          <w:rPr>
            <w:u w:val="single"/>
            <w:rtl w:val="0"/>
          </w:rPr>
          <w:t xml:space="preserve">https://www.ncbi.nlm.nih.gov/pmc/articles/PMC7241805/</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w:t>
      </w:r>
      <w:hyperlink r:id="rId11">
        <w:r w:rsidDel="00000000" w:rsidR="00000000" w:rsidRPr="00000000">
          <w:rPr>
            <w:u w:val="single"/>
            <w:rtl w:val="0"/>
          </w:rPr>
          <w:t xml:space="preserve">https://www.tandfonline.com/doi/full/10.1080/02723638.2016.1276718</w:t>
        </w:r>
      </w:hyperlink>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[3]</w:t>
      </w:r>
      <w:hyperlink r:id="rId12">
        <w:r w:rsidDel="00000000" w:rsidR="00000000" w:rsidRPr="00000000">
          <w:rPr>
            <w:u w:val="single"/>
            <w:rtl w:val="0"/>
          </w:rPr>
          <w:t xml:space="preserve">https://www.tandfonline.com/doi/full/10.1080/02723638.2017.1360041?casa_token=qyUD78zo-GYAAAAA%3AOXm5NEbUzr86_JN_Vc8NrOFTAv017yflmf5mmAJ7gKvMCCWGoZj_Y9ldJKcPNKKUKwOiuCfWVBTaAGY</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[4] </w:t>
      </w:r>
      <w:hyperlink r:id="rId13">
        <w:r w:rsidDel="00000000" w:rsidR="00000000" w:rsidRPr="00000000">
          <w:rPr>
            <w:u w:val="single"/>
            <w:rtl w:val="0"/>
          </w:rPr>
          <w:t xml:space="preserve">http://www.udpny.org/static/media/report.8f3f1564.pdf</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r>
    </w:p>
    <w:p w:rsidR="00000000" w:rsidDel="00000000" w:rsidP="00000000" w:rsidRDefault="00000000" w:rsidRPr="00000000" w14:paraId="0000009D">
      <w:pPr>
        <w:spacing w:lin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spacing w:line="240" w:lineRule="auto"/>
        <w:rPr>
          <w:color w:val="000000"/>
          <w:sz w:val="24"/>
          <w:szCs w:val="24"/>
        </w:rPr>
      </w:pPr>
      <w:bookmarkStart w:colFirst="0" w:colLast="0" w:name="_e0j52lyquxwo" w:id="13"/>
      <w:bookmarkEnd w:id="13"/>
      <w:r w:rsidDel="00000000" w:rsidR="00000000" w:rsidRPr="00000000">
        <w:rPr>
          <w:color w:val="000000"/>
          <w:sz w:val="24"/>
          <w:szCs w:val="24"/>
          <w:rtl w:val="0"/>
        </w:rPr>
        <w:t xml:space="preserve">APPENDIX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FIGURE 1. BREAKDOWN OF CENSUS DATA FEATURES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jc w:val="left"/>
              <w:rPr>
                <w:b w:val="1"/>
              </w:rPr>
            </w:pPr>
            <w:r w:rsidDel="00000000" w:rsidR="00000000" w:rsidRPr="00000000">
              <w:rPr>
                <w:b w:val="1"/>
                <w:rtl w:val="0"/>
              </w:rPr>
              <w:t xml:space="preserve">Feature category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jc w:val="left"/>
              <w:rPr>
                <w:b w:val="1"/>
              </w:rPr>
            </w:pPr>
            <w:r w:rsidDel="00000000" w:rsidR="00000000" w:rsidRPr="00000000">
              <w:rPr>
                <w:b w:val="1"/>
                <w:rtl w:val="0"/>
              </w:rPr>
              <w:t xml:space="preserve">Breakdown of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left"/>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left"/>
              <w:rPr/>
            </w:pPr>
            <w:r w:rsidDel="00000000" w:rsidR="00000000" w:rsidRPr="00000000">
              <w:rPr>
                <w:rtl w:val="0"/>
              </w:rPr>
              <w:t xml:space="preserve">Number of bedrooms, gross rent, heat type, occupancy, tenure, mortgage status, mobility, housing costs, units in structure, value, year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left"/>
              <w:rPr/>
            </w:pPr>
            <w:r w:rsidDel="00000000" w:rsidR="00000000" w:rsidRPr="00000000">
              <w:rPr>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left"/>
              <w:rPr/>
            </w:pPr>
            <w:r w:rsidDel="00000000" w:rsidR="00000000" w:rsidRPr="00000000">
              <w:rPr>
                <w:rtl w:val="0"/>
              </w:rPr>
              <w:t xml:space="preserve">Disability status, educational attainment, births, family type/members, race, marital status, place of birth, school enrollment, sex, age, citizenship status, vehicles availible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left"/>
              <w:rPr/>
            </w:pPr>
            <w:r w:rsidDel="00000000" w:rsidR="00000000" w:rsidRPr="00000000">
              <w:rPr>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left"/>
              <w:rPr/>
            </w:pPr>
            <w:r w:rsidDel="00000000" w:rsidR="00000000" w:rsidRPr="00000000">
              <w:rPr>
                <w:rtl w:val="0"/>
              </w:rPr>
              <w:t xml:space="preserve">Class of worker, commute to work, employment status, health insurance coverage, income and benefits, industry, occupation</w:t>
            </w:r>
          </w:p>
        </w:tc>
      </w:tr>
    </w:tbl>
    <w:p w:rsidR="00000000" w:rsidDel="00000000" w:rsidP="00000000" w:rsidRDefault="00000000" w:rsidRPr="00000000" w14:paraId="000000AA">
      <w:pPr>
        <w:spacing w:line="240" w:lineRule="auto"/>
        <w:jc w:val="both"/>
        <w:rPr/>
      </w:pP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tl w:val="0"/>
        </w:rPr>
      </w:r>
    </w:p>
    <w:p w:rsidR="00000000" w:rsidDel="00000000" w:rsidP="00000000" w:rsidRDefault="00000000" w:rsidRPr="00000000" w14:paraId="000000AC">
      <w:pPr>
        <w:spacing w:line="240" w:lineRule="auto"/>
        <w:jc w:val="both"/>
        <w:rPr/>
      </w:pPr>
      <w:r w:rsidDel="00000000" w:rsidR="00000000" w:rsidRPr="00000000">
        <w:rPr>
          <w:rtl w:val="0"/>
        </w:rPr>
        <w:t xml:space="preserve">FIGURE 2. PIT BASELINE LEARNING CURVES</w:t>
      </w:r>
    </w:p>
    <w:p w:rsidR="00000000" w:rsidDel="00000000" w:rsidP="00000000" w:rsidRDefault="00000000" w:rsidRPr="00000000" w14:paraId="000000AD">
      <w:pPr>
        <w:spacing w:line="240" w:lineRule="auto"/>
        <w:jc w:val="left"/>
        <w:rPr/>
      </w:pPr>
      <w:r w:rsidDel="00000000" w:rsidR="00000000" w:rsidRPr="00000000">
        <w:rPr/>
        <w:drawing>
          <wp:inline distB="114300" distT="114300" distL="114300" distR="114300">
            <wp:extent cx="2926080" cy="1170432"/>
            <wp:effectExtent b="0" l="0" r="0" t="0"/>
            <wp:docPr id="2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926080" cy="1170432"/>
                    </a:xfrm>
                    <a:prstGeom prst="rect"/>
                    <a:ln/>
                  </pic:spPr>
                </pic:pic>
              </a:graphicData>
            </a:graphic>
          </wp:inline>
        </w:drawing>
      </w:r>
      <w:r w:rsidDel="00000000" w:rsidR="00000000" w:rsidRPr="00000000">
        <w:rPr/>
        <w:drawing>
          <wp:inline distB="114300" distT="114300" distL="114300" distR="114300">
            <wp:extent cx="2926080" cy="1254034"/>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926080" cy="125403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jc w:val="left"/>
        <w:rPr/>
      </w:pPr>
      <w:r w:rsidDel="00000000" w:rsidR="00000000" w:rsidRPr="00000000">
        <w:rPr/>
        <w:drawing>
          <wp:inline distB="114300" distT="114300" distL="114300" distR="114300">
            <wp:extent cx="2926080" cy="1179871"/>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26080" cy="1179871"/>
                    </a:xfrm>
                    <a:prstGeom prst="rect"/>
                    <a:ln/>
                  </pic:spPr>
                </pic:pic>
              </a:graphicData>
            </a:graphic>
          </wp:inline>
        </w:drawing>
      </w:r>
      <w:r w:rsidDel="00000000" w:rsidR="00000000" w:rsidRPr="00000000">
        <w:rPr/>
        <w:drawing>
          <wp:inline distB="114300" distT="114300" distL="114300" distR="114300">
            <wp:extent cx="2926080" cy="1170432"/>
            <wp:effectExtent b="0" l="0" r="0" t="0"/>
            <wp:docPr id="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jc w:val="left"/>
        <w:rPr/>
      </w:pPr>
      <w:r w:rsidDel="00000000" w:rsidR="00000000" w:rsidRPr="00000000">
        <w:rPr>
          <w:rtl w:val="0"/>
        </w:rPr>
      </w:r>
    </w:p>
    <w:p w:rsidR="00000000" w:rsidDel="00000000" w:rsidP="00000000" w:rsidRDefault="00000000" w:rsidRPr="00000000" w14:paraId="000000B0">
      <w:pPr>
        <w:spacing w:line="240" w:lineRule="auto"/>
        <w:jc w:val="left"/>
        <w:rPr/>
      </w:pPr>
      <w:r w:rsidDel="00000000" w:rsidR="00000000" w:rsidRPr="00000000">
        <w:rPr>
          <w:rtl w:val="0"/>
        </w:rPr>
        <w:t xml:space="preserve">FIGURE 3. PIT SELECTKBEST </w:t>
      </w:r>
      <w:r w:rsidDel="00000000" w:rsidR="00000000" w:rsidRPr="00000000">
        <w:rPr>
          <w:rtl w:val="0"/>
        </w:rPr>
        <w:t xml:space="preserve">LEARNING CURVES</w:t>
      </w:r>
      <w:r w:rsidDel="00000000" w:rsidR="00000000" w:rsidRPr="00000000">
        <w:rPr>
          <w:rtl w:val="0"/>
        </w:rPr>
      </w:r>
    </w:p>
    <w:p w:rsidR="00000000" w:rsidDel="00000000" w:rsidP="00000000" w:rsidRDefault="00000000" w:rsidRPr="00000000" w14:paraId="000000B1">
      <w:pPr>
        <w:spacing w:line="240" w:lineRule="auto"/>
        <w:jc w:val="left"/>
        <w:rPr/>
      </w:pPr>
      <w:r w:rsidDel="00000000" w:rsidR="00000000" w:rsidRPr="00000000">
        <w:rPr/>
        <w:drawing>
          <wp:inline distB="114300" distT="114300" distL="114300" distR="114300">
            <wp:extent cx="2926080" cy="1163782"/>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26080" cy="1163782"/>
                    </a:xfrm>
                    <a:prstGeom prst="rect"/>
                    <a:ln/>
                  </pic:spPr>
                </pic:pic>
              </a:graphicData>
            </a:graphic>
          </wp:inline>
        </w:drawing>
      </w:r>
      <w:r w:rsidDel="00000000" w:rsidR="00000000" w:rsidRPr="00000000">
        <w:rPr/>
        <w:drawing>
          <wp:inline distB="114300" distT="114300" distL="114300" distR="114300">
            <wp:extent cx="2926080" cy="1170432"/>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jc w:val="left"/>
        <w:rPr/>
      </w:pPr>
      <w:r w:rsidDel="00000000" w:rsidR="00000000" w:rsidRPr="00000000">
        <w:rPr/>
        <w:drawing>
          <wp:inline distB="114300" distT="114300" distL="114300" distR="114300">
            <wp:extent cx="2926080" cy="1170432"/>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jc w:val="left"/>
        <w:rPr/>
      </w:pPr>
      <w:r w:rsidDel="00000000" w:rsidR="00000000" w:rsidRPr="00000000">
        <w:rPr>
          <w:rtl w:val="0"/>
        </w:rPr>
      </w:r>
    </w:p>
    <w:p w:rsidR="00000000" w:rsidDel="00000000" w:rsidP="00000000" w:rsidRDefault="00000000" w:rsidRPr="00000000" w14:paraId="000000B4">
      <w:pPr>
        <w:spacing w:line="240" w:lineRule="auto"/>
        <w:jc w:val="left"/>
        <w:rPr/>
      </w:pPr>
      <w:r w:rsidDel="00000000" w:rsidR="00000000" w:rsidRPr="00000000">
        <w:rPr>
          <w:rtl w:val="0"/>
        </w:rPr>
        <w:t xml:space="preserve">FIGURE 4. PIT PCA </w:t>
      </w:r>
      <w:r w:rsidDel="00000000" w:rsidR="00000000" w:rsidRPr="00000000">
        <w:rPr>
          <w:rtl w:val="0"/>
        </w:rPr>
        <w:t xml:space="preserve">LEARNING CURVES</w:t>
      </w:r>
      <w:r w:rsidDel="00000000" w:rsidR="00000000" w:rsidRPr="00000000">
        <w:rPr>
          <w:rtl w:val="0"/>
        </w:rPr>
      </w:r>
    </w:p>
    <w:p w:rsidR="00000000" w:rsidDel="00000000" w:rsidP="00000000" w:rsidRDefault="00000000" w:rsidRPr="00000000" w14:paraId="000000B5">
      <w:pPr>
        <w:spacing w:line="240" w:lineRule="auto"/>
        <w:jc w:val="left"/>
        <w:rPr/>
      </w:pPr>
      <w:r w:rsidDel="00000000" w:rsidR="00000000" w:rsidRPr="00000000">
        <w:rPr>
          <w:rtl w:val="0"/>
        </w:rPr>
      </w:r>
    </w:p>
    <w:p w:rsidR="00000000" w:rsidDel="00000000" w:rsidP="00000000" w:rsidRDefault="00000000" w:rsidRPr="00000000" w14:paraId="000000B6">
      <w:pPr>
        <w:spacing w:line="240" w:lineRule="auto"/>
        <w:jc w:val="left"/>
        <w:rPr/>
      </w:pPr>
      <w:r w:rsidDel="00000000" w:rsidR="00000000" w:rsidRPr="00000000">
        <w:rPr/>
        <w:drawing>
          <wp:inline distB="114300" distT="114300" distL="114300" distR="114300">
            <wp:extent cx="2926080" cy="1160678"/>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26080" cy="1160678"/>
                    </a:xfrm>
                    <a:prstGeom prst="rect"/>
                    <a:ln/>
                  </pic:spPr>
                </pic:pic>
              </a:graphicData>
            </a:graphic>
          </wp:inline>
        </w:drawing>
      </w:r>
      <w:r w:rsidDel="00000000" w:rsidR="00000000" w:rsidRPr="00000000">
        <w:rPr/>
        <w:drawing>
          <wp:inline distB="114300" distT="114300" distL="114300" distR="114300">
            <wp:extent cx="2926080" cy="1160678"/>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26080" cy="116067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drawing>
          <wp:inline distB="114300" distT="114300" distL="114300" distR="114300">
            <wp:extent cx="2926080" cy="1170432"/>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FIGURE 5. </w:t>
      </w:r>
      <w:r w:rsidDel="00000000" w:rsidR="00000000" w:rsidRPr="00000000">
        <w:rPr>
          <w:rtl w:val="0"/>
        </w:rPr>
        <w:t xml:space="preserve">CAGR BASELINE LEARNING CURVES</w:t>
      </w:r>
    </w:p>
    <w:p w:rsidR="00000000" w:rsidDel="00000000" w:rsidP="00000000" w:rsidRDefault="00000000" w:rsidRPr="00000000" w14:paraId="000000BA">
      <w:pPr>
        <w:spacing w:line="240" w:lineRule="auto"/>
        <w:jc w:val="left"/>
        <w:rPr/>
      </w:pPr>
      <w:r w:rsidDel="00000000" w:rsidR="00000000" w:rsidRPr="00000000">
        <w:rPr/>
        <w:drawing>
          <wp:inline distB="114300" distT="114300" distL="114300" distR="114300">
            <wp:extent cx="2926080" cy="1180186"/>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926080" cy="1180186"/>
                    </a:xfrm>
                    <a:prstGeom prst="rect"/>
                    <a:ln/>
                  </pic:spPr>
                </pic:pic>
              </a:graphicData>
            </a:graphic>
          </wp:inline>
        </w:drawing>
      </w:r>
      <w:r w:rsidDel="00000000" w:rsidR="00000000" w:rsidRPr="00000000">
        <w:rPr/>
        <w:drawing>
          <wp:inline distB="114300" distT="114300" distL="114300" distR="114300">
            <wp:extent cx="2926080" cy="1189939"/>
            <wp:effectExtent b="0" l="0" r="0" t="0"/>
            <wp:docPr id="2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926080" cy="118993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jc w:val="left"/>
        <w:rPr/>
      </w:pPr>
      <w:r w:rsidDel="00000000" w:rsidR="00000000" w:rsidRPr="00000000">
        <w:rPr/>
        <w:drawing>
          <wp:inline distB="114300" distT="114300" distL="114300" distR="114300">
            <wp:extent cx="2926080" cy="1180186"/>
            <wp:effectExtent b="0" l="0" r="0" t="0"/>
            <wp:docPr id="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926080" cy="1180186"/>
                    </a:xfrm>
                    <a:prstGeom prst="rect"/>
                    <a:ln/>
                  </pic:spPr>
                </pic:pic>
              </a:graphicData>
            </a:graphic>
          </wp:inline>
        </w:drawing>
      </w:r>
      <w:r w:rsidDel="00000000" w:rsidR="00000000" w:rsidRPr="00000000">
        <w:rPr/>
        <w:drawing>
          <wp:inline distB="114300" distT="114300" distL="114300" distR="114300">
            <wp:extent cx="2926080" cy="1170432"/>
            <wp:effectExtent b="0" l="0" r="0" t="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jc w:val="center"/>
        <w:rPr/>
      </w:pPr>
      <w:r w:rsidDel="00000000" w:rsidR="00000000" w:rsidRPr="00000000">
        <w:rPr>
          <w:rtl w:val="0"/>
        </w:rPr>
      </w:r>
    </w:p>
    <w:p w:rsidR="00000000" w:rsidDel="00000000" w:rsidP="00000000" w:rsidRDefault="00000000" w:rsidRPr="00000000" w14:paraId="000000BD">
      <w:pPr>
        <w:spacing w:line="240" w:lineRule="auto"/>
        <w:jc w:val="both"/>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FIGURE 6. </w:t>
      </w:r>
      <w:r w:rsidDel="00000000" w:rsidR="00000000" w:rsidRPr="00000000">
        <w:rPr>
          <w:rtl w:val="0"/>
        </w:rPr>
        <w:t xml:space="preserve">CAGR SELECTKBEST LEARNING CURVES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drawing>
          <wp:inline distB="114300" distT="114300" distL="114300" distR="114300">
            <wp:extent cx="2926080" cy="1170432"/>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926080" cy="1170432"/>
                    </a:xfrm>
                    <a:prstGeom prst="rect"/>
                    <a:ln/>
                  </pic:spPr>
                </pic:pic>
              </a:graphicData>
            </a:graphic>
          </wp:inline>
        </w:drawing>
      </w:r>
      <w:r w:rsidDel="00000000" w:rsidR="00000000" w:rsidRPr="00000000">
        <w:rPr/>
        <w:drawing>
          <wp:inline distB="114300" distT="114300" distL="114300" distR="114300">
            <wp:extent cx="2926080" cy="1170432"/>
            <wp:effectExtent b="0" l="0" r="0" t="0"/>
            <wp:docPr id="20"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drawing>
          <wp:inline distB="114300" distT="114300" distL="114300" distR="114300">
            <wp:extent cx="2926080" cy="1160678"/>
            <wp:effectExtent b="0" l="0" r="0" t="0"/>
            <wp:docPr id="14"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926080" cy="116067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FIGURE 7. CAGR PCA LEARNING CURVES</w:t>
      </w:r>
      <w:r w:rsidDel="00000000" w:rsidR="00000000" w:rsidRPr="00000000">
        <w:rPr>
          <w:rtl w:val="0"/>
        </w:rPr>
      </w:r>
    </w:p>
    <w:p w:rsidR="00000000" w:rsidDel="00000000" w:rsidP="00000000" w:rsidRDefault="00000000" w:rsidRPr="00000000" w14:paraId="000000C4">
      <w:pPr>
        <w:spacing w:line="240" w:lineRule="auto"/>
        <w:jc w:val="both"/>
        <w:rPr/>
      </w:pPr>
      <w:r w:rsidDel="00000000" w:rsidR="00000000" w:rsidRPr="00000000">
        <w:rPr>
          <w:rtl w:val="0"/>
        </w:rPr>
      </w:r>
    </w:p>
    <w:p w:rsidR="00000000" w:rsidDel="00000000" w:rsidP="00000000" w:rsidRDefault="00000000" w:rsidRPr="00000000" w14:paraId="000000C5">
      <w:pPr>
        <w:spacing w:line="240" w:lineRule="auto"/>
        <w:jc w:val="both"/>
        <w:rPr/>
      </w:pPr>
      <w:r w:rsidDel="00000000" w:rsidR="00000000" w:rsidRPr="00000000">
        <w:rPr/>
        <w:drawing>
          <wp:inline distB="114300" distT="114300" distL="114300" distR="114300">
            <wp:extent cx="2926080" cy="1161565"/>
            <wp:effectExtent b="0" l="0" r="0" t="0"/>
            <wp:docPr id="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926080" cy="1161565"/>
                    </a:xfrm>
                    <a:prstGeom prst="rect"/>
                    <a:ln/>
                  </pic:spPr>
                </pic:pic>
              </a:graphicData>
            </a:graphic>
          </wp:inline>
        </w:drawing>
      </w:r>
      <w:r w:rsidDel="00000000" w:rsidR="00000000" w:rsidRPr="00000000">
        <w:rPr/>
        <w:drawing>
          <wp:inline distB="114300" distT="114300" distL="114300" distR="114300">
            <wp:extent cx="2926080" cy="1170432"/>
            <wp:effectExtent b="0" l="0" r="0" t="0"/>
            <wp:docPr id="1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both"/>
        <w:rPr/>
      </w:pPr>
      <w:r w:rsidDel="00000000" w:rsidR="00000000" w:rsidRPr="00000000">
        <w:rPr/>
        <w:drawing>
          <wp:inline distB="114300" distT="114300" distL="114300" distR="114300">
            <wp:extent cx="2926080" cy="1170432"/>
            <wp:effectExtent b="0" l="0" r="0" t="0"/>
            <wp:docPr id="7"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926080" cy="117043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both"/>
        <w:rPr/>
      </w:pPr>
      <w:r w:rsidDel="00000000" w:rsidR="00000000" w:rsidRPr="00000000">
        <w:rPr>
          <w:rtl w:val="0"/>
        </w:rPr>
      </w:r>
    </w:p>
    <w:p w:rsidR="00000000" w:rsidDel="00000000" w:rsidP="00000000" w:rsidRDefault="00000000" w:rsidRPr="00000000" w14:paraId="000000C8">
      <w:pPr>
        <w:spacing w:line="240" w:lineRule="auto"/>
        <w:jc w:val="both"/>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FIGURE 8. </w:t>
      </w:r>
      <w:r w:rsidDel="00000000" w:rsidR="00000000" w:rsidRPr="00000000">
        <w:rPr>
          <w:rtl w:val="0"/>
        </w:rPr>
        <w:t xml:space="preserve">MOST COMMON PREDICTORS (+/-) FOR HIGH, MEDIUM, AND LOW GROWTH</w:t>
      </w:r>
      <w:r w:rsidDel="00000000" w:rsidR="00000000" w:rsidRPr="00000000">
        <w:rPr>
          <w:rtl w:val="0"/>
        </w:rPr>
      </w:r>
    </w:p>
    <w:tbl>
      <w:tblPr>
        <w:tblStyle w:val="Table3"/>
        <w:tblW w:w="8640.0" w:type="dxa"/>
        <w:jc w:val="left"/>
        <w:tblInd w:w="5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trHeight w:val="248.79999999999998" w:hRule="atLeast"/>
        </w:trPr>
        <w:tc>
          <w:tcPr>
            <w:gridSpan w:val="2"/>
            <w:tcBorders>
              <w:top w:color="d9d9d9" w:space="0" w:sz="4" w:val="dotted"/>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A">
            <w:pPr>
              <w:rPr>
                <w:b w:val="1"/>
                <w:sz w:val="18"/>
                <w:szCs w:val="18"/>
              </w:rPr>
            </w:pPr>
            <w:r w:rsidDel="00000000" w:rsidR="00000000" w:rsidRPr="00000000">
              <w:rPr>
                <w:b w:val="1"/>
                <w:sz w:val="18"/>
                <w:szCs w:val="18"/>
                <w:rtl w:val="0"/>
              </w:rPr>
              <w:t xml:space="preserve">HIGH GROWTH</w:t>
            </w:r>
          </w:p>
        </w:tc>
      </w:tr>
      <w:tr>
        <w:tc>
          <w:tcPr>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Positive Feature</w:t>
            </w:r>
          </w:p>
        </w:tc>
        <w:tc>
          <w:tcPr>
            <w:tcBorders>
              <w:top w:color="ffffff" w:space="0" w:sz="8" w:val="single"/>
              <w:left w:color="ffffff" w:space="0" w:sz="8" w:val="single"/>
              <w:bottom w:color="ffffff" w:space="0" w:sz="8" w:val="single"/>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Percent!!UNITS IN STRUCTURE!!Total housing units!!5 to 9 units_15'</w:t>
            </w:r>
          </w:p>
        </w:tc>
      </w:tr>
      <w:tr>
        <w:tc>
          <w:tcPr>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Negative Feature</w:t>
            </w:r>
          </w:p>
        </w:tc>
        <w:tc>
          <w:tcPr>
            <w:tcBorders>
              <w:top w:color="ffffff" w:space="0" w:sz="8" w:val="single"/>
              <w:left w:color="ffffff" w:space="0" w:sz="8" w:val="single"/>
              <w:bottom w:color="ffffff" w:space="0" w:sz="8" w:val="single"/>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CF">
            <w:pPr>
              <w:rPr>
                <w:sz w:val="18"/>
                <w:szCs w:val="18"/>
              </w:rPr>
            </w:pPr>
            <w:r w:rsidDel="00000000" w:rsidR="00000000" w:rsidRPr="00000000">
              <w:rPr>
                <w:sz w:val="18"/>
                <w:szCs w:val="18"/>
                <w:rtl w:val="0"/>
              </w:rPr>
              <w:t xml:space="preserve">Percent!!RACE!!One race!!Some other race_15'</w:t>
            </w:r>
          </w:p>
        </w:tc>
      </w:tr>
      <w:tr>
        <w:trPr>
          <w:trHeight w:val="248.79999999999998" w:hRule="atLeast"/>
        </w:trPr>
        <w:tc>
          <w:tcPr>
            <w:gridSpan w:val="2"/>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0">
            <w:pPr>
              <w:rPr>
                <w:sz w:val="18"/>
                <w:szCs w:val="18"/>
              </w:rPr>
            </w:pPr>
            <w:r w:rsidDel="00000000" w:rsidR="00000000" w:rsidRPr="00000000">
              <w:rPr>
                <w:rtl w:val="0"/>
              </w:rPr>
            </w:r>
          </w:p>
        </w:tc>
      </w:tr>
      <w:tr>
        <w:trPr>
          <w:trHeight w:val="248.79999999999998" w:hRule="atLeast"/>
        </w:trPr>
        <w:tc>
          <w:tcPr>
            <w:gridSpan w:val="2"/>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MEDIUM GROWTH</w:t>
            </w:r>
          </w:p>
        </w:tc>
      </w:tr>
      <w:tr>
        <w:tc>
          <w:tcPr>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4">
            <w:pPr>
              <w:rPr>
                <w:sz w:val="18"/>
                <w:szCs w:val="18"/>
              </w:rPr>
            </w:pPr>
            <w:r w:rsidDel="00000000" w:rsidR="00000000" w:rsidRPr="00000000">
              <w:rPr>
                <w:sz w:val="18"/>
                <w:szCs w:val="18"/>
                <w:rtl w:val="0"/>
              </w:rPr>
              <w:t xml:space="preserve">Positive Feature</w:t>
            </w:r>
          </w:p>
        </w:tc>
        <w:tc>
          <w:tcPr>
            <w:tcBorders>
              <w:top w:color="ffffff" w:space="0" w:sz="8" w:val="single"/>
              <w:left w:color="ffffff" w:space="0" w:sz="8" w:val="single"/>
              <w:bottom w:color="ffffff" w:space="0" w:sz="8" w:val="single"/>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D5">
            <w:pPr>
              <w:rPr>
                <w:sz w:val="18"/>
                <w:szCs w:val="18"/>
              </w:rPr>
            </w:pPr>
            <w:r w:rsidDel="00000000" w:rsidR="00000000" w:rsidRPr="00000000">
              <w:rPr>
                <w:sz w:val="18"/>
                <w:szCs w:val="18"/>
                <w:rtl w:val="0"/>
              </w:rPr>
              <w:t xml:space="preserve">Percent!!RACE!!One race!!American Indian and Alaska Native!!Chippewa tribal grouping_15'</w:t>
            </w:r>
          </w:p>
        </w:tc>
      </w:tr>
      <w:tr>
        <w:tc>
          <w:tcPr>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6">
            <w:pPr>
              <w:rPr>
                <w:sz w:val="18"/>
                <w:szCs w:val="18"/>
              </w:rPr>
            </w:pPr>
            <w:r w:rsidDel="00000000" w:rsidR="00000000" w:rsidRPr="00000000">
              <w:rPr>
                <w:sz w:val="18"/>
                <w:szCs w:val="18"/>
                <w:rtl w:val="0"/>
              </w:rPr>
              <w:t xml:space="preserve">Negative Feature</w:t>
            </w:r>
          </w:p>
        </w:tc>
        <w:tc>
          <w:tcPr>
            <w:tcBorders>
              <w:top w:color="ffffff" w:space="0" w:sz="8" w:val="single"/>
              <w:left w:color="ffffff" w:space="0" w:sz="8" w:val="single"/>
              <w:bottom w:color="ffffff" w:space="0" w:sz="8" w:val="single"/>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D7">
            <w:pPr>
              <w:rPr>
                <w:sz w:val="18"/>
                <w:szCs w:val="18"/>
              </w:rPr>
            </w:pPr>
            <w:r w:rsidDel="00000000" w:rsidR="00000000" w:rsidRPr="00000000">
              <w:rPr>
                <w:sz w:val="18"/>
                <w:szCs w:val="18"/>
                <w:rtl w:val="0"/>
              </w:rPr>
              <w:t xml:space="preserve">Percent!!UNITS IN STRUCTURE!!Total housing units!!5 to 9 units_15'</w:t>
            </w:r>
          </w:p>
        </w:tc>
      </w:tr>
      <w:tr>
        <w:trPr>
          <w:trHeight w:val="248.79999999999998" w:hRule="atLeast"/>
        </w:trPr>
        <w:tc>
          <w:tcPr>
            <w:gridSpan w:val="2"/>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8">
            <w:pPr>
              <w:rPr>
                <w:sz w:val="18"/>
                <w:szCs w:val="18"/>
              </w:rPr>
            </w:pPr>
            <w:r w:rsidDel="00000000" w:rsidR="00000000" w:rsidRPr="00000000">
              <w:rPr>
                <w:rtl w:val="0"/>
              </w:rPr>
            </w:r>
          </w:p>
        </w:tc>
      </w:tr>
      <w:tr>
        <w:trPr>
          <w:trHeight w:val="248.79999999999998" w:hRule="atLeast"/>
        </w:trPr>
        <w:tc>
          <w:tcPr>
            <w:gridSpan w:val="2"/>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A">
            <w:pPr>
              <w:rPr>
                <w:b w:val="1"/>
                <w:sz w:val="18"/>
                <w:szCs w:val="18"/>
              </w:rPr>
            </w:pPr>
            <w:r w:rsidDel="00000000" w:rsidR="00000000" w:rsidRPr="00000000">
              <w:rPr>
                <w:b w:val="1"/>
                <w:sz w:val="18"/>
                <w:szCs w:val="18"/>
                <w:rtl w:val="0"/>
              </w:rPr>
              <w:t xml:space="preserve">LOW GROWTH</w:t>
            </w:r>
          </w:p>
        </w:tc>
      </w:tr>
      <w:tr>
        <w:tc>
          <w:tcPr>
            <w:tcBorders>
              <w:top w:color="ffffff" w:space="0" w:sz="8" w:val="single"/>
              <w:left w:color="d9d9d9" w:space="0" w:sz="4" w:val="dotted"/>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C">
            <w:pPr>
              <w:rPr>
                <w:sz w:val="18"/>
                <w:szCs w:val="18"/>
              </w:rPr>
            </w:pPr>
            <w:r w:rsidDel="00000000" w:rsidR="00000000" w:rsidRPr="00000000">
              <w:rPr>
                <w:sz w:val="18"/>
                <w:szCs w:val="18"/>
                <w:rtl w:val="0"/>
              </w:rPr>
              <w:t xml:space="preserve">Positive Feature</w:t>
            </w:r>
          </w:p>
        </w:tc>
        <w:tc>
          <w:tcPr>
            <w:tcBorders>
              <w:top w:color="ffffff" w:space="0" w:sz="8" w:val="single"/>
              <w:left w:color="ffffff" w:space="0" w:sz="8" w:val="single"/>
              <w:bottom w:color="ffffff" w:space="0" w:sz="8" w:val="single"/>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DD">
            <w:pPr>
              <w:rPr>
                <w:sz w:val="18"/>
                <w:szCs w:val="18"/>
              </w:rPr>
            </w:pPr>
            <w:r w:rsidDel="00000000" w:rsidR="00000000" w:rsidRPr="00000000">
              <w:rPr>
                <w:sz w:val="18"/>
                <w:szCs w:val="18"/>
                <w:rtl w:val="0"/>
              </w:rPr>
              <w:t xml:space="preserve">Percent!!VALUE!!Owner-occupied units!!$100,000 to $149,999_15'</w:t>
            </w:r>
          </w:p>
        </w:tc>
      </w:tr>
      <w:tr>
        <w:tc>
          <w:tcPr>
            <w:tcBorders>
              <w:top w:color="ffffff" w:space="0" w:sz="8" w:val="single"/>
              <w:left w:color="d9d9d9" w:space="0" w:sz="4" w:val="dotted"/>
              <w:bottom w:color="d9d9d9" w:space="0" w:sz="4" w:val="dotted"/>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E">
            <w:pPr>
              <w:rPr>
                <w:sz w:val="18"/>
                <w:szCs w:val="18"/>
              </w:rPr>
            </w:pPr>
            <w:r w:rsidDel="00000000" w:rsidR="00000000" w:rsidRPr="00000000">
              <w:rPr>
                <w:sz w:val="18"/>
                <w:szCs w:val="18"/>
                <w:rtl w:val="0"/>
              </w:rPr>
              <w:t xml:space="preserve">Negative Feature</w:t>
            </w:r>
          </w:p>
        </w:tc>
        <w:tc>
          <w:tcPr>
            <w:tcBorders>
              <w:top w:color="ffffff" w:space="0" w:sz="8" w:val="single"/>
              <w:left w:color="ffffff" w:space="0" w:sz="8" w:val="single"/>
              <w:bottom w:color="d9d9d9" w:space="0" w:sz="4" w:val="dotted"/>
              <w:right w:color="d9d9d9"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Percent!!UNITS IN STRUCTURE!!Total housing units!!5 to 9 units_15'</w:t>
            </w:r>
          </w:p>
        </w:tc>
      </w:tr>
    </w:tbl>
    <w:p w:rsidR="00000000" w:rsidDel="00000000" w:rsidP="00000000" w:rsidRDefault="00000000" w:rsidRPr="00000000" w14:paraId="000000E0">
      <w:pPr>
        <w:spacing w:line="240" w:lineRule="auto"/>
        <w:rPr/>
      </w:pPr>
      <w:r w:rsidDel="00000000" w:rsidR="00000000" w:rsidRPr="00000000">
        <w:rPr>
          <w:rtl w:val="0"/>
        </w:rPr>
      </w:r>
    </w:p>
    <w:sectPr>
      <w:headerReference r:id="rId34" w:type="default"/>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hd w:fill="ffffff" w:val="clear"/>
      <w:spacing w:after="20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8.png"/><Relationship Id="rId25" Type="http://schemas.openxmlformats.org/officeDocument/2006/relationships/image" Target="media/image23.png"/><Relationship Id="rId28" Type="http://schemas.openxmlformats.org/officeDocument/2006/relationships/image" Target="media/image20.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1.png"/><Relationship Id="rId31" Type="http://schemas.openxmlformats.org/officeDocument/2006/relationships/image" Target="media/image15.png"/><Relationship Id="rId30" Type="http://schemas.openxmlformats.org/officeDocument/2006/relationships/image" Target="media/image19.png"/><Relationship Id="rId11" Type="http://schemas.openxmlformats.org/officeDocument/2006/relationships/hyperlink" Target="https://www.tandfonline.com/doi/full/10.1080/02723638.2016.1276718" TargetMode="External"/><Relationship Id="rId33" Type="http://schemas.openxmlformats.org/officeDocument/2006/relationships/image" Target="media/image9.png"/><Relationship Id="rId10" Type="http://schemas.openxmlformats.org/officeDocument/2006/relationships/hyperlink" Target="https://www.ncbi.nlm.nih.gov/pmc/articles/PMC7241805/" TargetMode="External"/><Relationship Id="rId32" Type="http://schemas.openxmlformats.org/officeDocument/2006/relationships/image" Target="media/image1.png"/><Relationship Id="rId13" Type="http://schemas.openxmlformats.org/officeDocument/2006/relationships/hyperlink" Target="http://www.udpny.org/static/media/report.8f3f1564.pdf" TargetMode="External"/><Relationship Id="rId35" Type="http://schemas.openxmlformats.org/officeDocument/2006/relationships/footer" Target="footer1.xml"/><Relationship Id="rId12" Type="http://schemas.openxmlformats.org/officeDocument/2006/relationships/hyperlink" Target="https://www.tandfonline.com/doi/full/10.1080/02723638.2017.1360041?casa_token=qyUD78zo-GYAAAAA%3AOXm5NEbUzr86_JN_Vc8NrOFTAv017yflmf5mmAJ7gKvMCCWGoZj_Y9ldJKcPNKKUKwOiuCfWVBTaAGY" TargetMode="External"/><Relationship Id="rId34" Type="http://schemas.openxmlformats.org/officeDocument/2006/relationships/header" Target="header1.xml"/><Relationship Id="rId15" Type="http://schemas.openxmlformats.org/officeDocument/2006/relationships/image" Target="media/image13.png"/><Relationship Id="rId14" Type="http://schemas.openxmlformats.org/officeDocument/2006/relationships/image" Target="media/image24.png"/><Relationship Id="rId17" Type="http://schemas.openxmlformats.org/officeDocument/2006/relationships/image" Target="media/image22.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