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Samsung Electronics Equity Research</w:t>
      </w:r>
    </w:p>
    <w:p>
      <w:pPr>
        <w:jc w:val="center"/>
      </w:pPr>
      <w:r>
        <w:rPr>
          <w:i/>
          <w:sz w:val="20"/>
        </w:rPr>
        <w:t>Segmented SOTP led valuation | As of 10 October 2026</w:t>
      </w:r>
    </w:p>
    <w:p>
      <w:r>
        <w:t>Conclusion. Samsung Electronics is best analysed as a portfolio of HBM and server-memory earnings, commodity-memory cycle risk, foundry execution risk and steadier DX, display and Harman cash flows. The base valuation is SOTP KRW 361,786 per share, 38.1% above the KRW 262,000 reference price. DCF is an upside cross-check, while RIM frames the capital-return downside.</w:t>
      </w:r>
    </w:p>
    <w:p>
      <w:pPr>
        <w:pStyle w:val="Heading1"/>
      </w:pPr>
      <w:r>
        <w:t>Earnings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KRW tn</w:t>
            </w:r>
          </w:p>
        </w:tc>
        <w:tc>
          <w:tcPr>
            <w:tcW w:type="dxa" w:w="2541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Q1 2026</w:t>
            </w:r>
          </w:p>
        </w:tc>
        <w:tc>
          <w:tcPr>
            <w:tcW w:type="dxa" w:w="2541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Q2 2026</w:t>
            </w:r>
          </w:p>
        </w:tc>
        <w:tc>
          <w:tcPr>
            <w:tcW w:type="dxa" w:w="2541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Q3 2026 prelim.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133.9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171.5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195.0</w:t>
            </w:r>
          </w:p>
        </w:tc>
      </w:tr>
      <w:tr>
        <w:tc>
          <w:tcPr>
            <w:tcW w:type="dxa" w:w="254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Operating profit</w:t>
            </w:r>
          </w:p>
        </w:tc>
        <w:tc>
          <w:tcPr>
            <w:tcW w:type="dxa" w:w="254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57.2</w:t>
            </w:r>
          </w:p>
        </w:tc>
        <w:tc>
          <w:tcPr>
            <w:tcW w:type="dxa" w:w="254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89.5</w:t>
            </w:r>
          </w:p>
        </w:tc>
        <w:tc>
          <w:tcPr>
            <w:tcW w:type="dxa" w:w="254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107.4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Net profit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47.2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71.6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54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DS revenue</w:t>
            </w:r>
          </w:p>
        </w:tc>
        <w:tc>
          <w:tcPr>
            <w:tcW w:type="dxa" w:w="254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81.7</w:t>
            </w:r>
          </w:p>
        </w:tc>
        <w:tc>
          <w:tcPr>
            <w:tcW w:type="dxa" w:w="254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127.5</w:t>
            </w:r>
          </w:p>
        </w:tc>
        <w:tc>
          <w:tcPr>
            <w:tcW w:type="dxa" w:w="254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DS operating profit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53.7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89.2</w:t>
            </w:r>
          </w:p>
        </w:tc>
        <w:tc>
          <w:tcPr>
            <w:tcW w:type="dxa" w:w="25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54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Net cash</w:t>
            </w:r>
          </w:p>
        </w:tc>
        <w:tc>
          <w:tcPr>
            <w:tcW w:type="dxa" w:w="254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4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167.6</w:t>
            </w:r>
          </w:p>
        </w:tc>
        <w:tc>
          <w:tcPr>
            <w:tcW w:type="dxa" w:w="254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t>Q2 data are Samsung Electronics official earnings results. Q3 revenue and operating profit are preliminary figures reported on 7 October; detailed segment and cash-flow disclosure is pending the 29 October result release.</w:t>
      </w:r>
    </w:p>
    <w:p>
      <w:pPr>
        <w:pStyle w:val="Heading1"/>
      </w:pPr>
      <w:r>
        <w:t>What matters</w:t>
      </w:r>
    </w:p>
    <w:p>
      <w:pPr>
        <w:pStyle w:val="ListBullet"/>
      </w:pPr>
      <w:r>
        <w:t>Memory: HBM4 sales scaled in Q2 and HBM4E samples were shipped to major customers. Server DRAM, enterprise SSD and HBM demand are expected to remain strong, while supply stays constrained.</w:t>
      </w:r>
    </w:p>
    <w:p>
      <w:pPr>
        <w:pStyle w:val="ListBullet"/>
      </w:pPr>
      <w:r>
        <w:t>Foundry: the valuation uses a deliberately low multiple because node utilisation, advanced-node yield and customer traction must improve before it is valued like TSMC.</w:t>
      </w:r>
    </w:p>
    <w:p>
      <w:pPr>
        <w:pStyle w:val="ListBullet"/>
      </w:pPr>
      <w:r>
        <w:t>DX, Display and Harman: these are separated from DS to avoid treating the whole group as a memory pure play. They provide diversification but do not receive a blanket memory premium.</w:t>
      </w:r>
    </w:p>
    <w:p>
      <w:pPr>
        <w:pStyle w:val="Heading1"/>
      </w:pPr>
      <w:r>
        <w:t>Valuation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89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Value per share</w:t>
            </w:r>
          </w:p>
        </w:tc>
        <w:tc>
          <w:tcPr>
            <w:tcW w:type="dxa" w:w="3389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Role in conclusion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SOTP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KRW 361,786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Primary; values disparate businesses separately</w:t>
            </w:r>
          </w:p>
        </w:tc>
      </w:tr>
      <w:tr>
        <w:tc>
          <w:tcPr>
            <w:tcW w:type="dxa" w:w="3389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DCF</w:t>
            </w:r>
          </w:p>
        </w:tc>
        <w:tc>
          <w:tcPr>
            <w:tcW w:type="dxa" w:w="3389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KRW 423,485</w:t>
            </w:r>
          </w:p>
        </w:tc>
        <w:tc>
          <w:tcPr>
            <w:tcW w:type="dxa" w:w="3389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Long-term cash-flow cross-check; terminal-value sensitive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Segment PER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KRW 322,000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Segment-normalised earnings cross-check</w:t>
            </w:r>
          </w:p>
        </w:tc>
      </w:tr>
      <w:tr>
        <w:tc>
          <w:tcPr>
            <w:tcW w:type="dxa" w:w="3389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RIM</w:t>
            </w:r>
          </w:p>
        </w:tc>
        <w:tc>
          <w:tcPr>
            <w:tcW w:type="dxa" w:w="3389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KRW 172,663</w:t>
            </w:r>
          </w:p>
        </w:tc>
        <w:tc>
          <w:tcPr>
            <w:tcW w:type="dxa" w:w="3389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Capital-return downside check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Reference price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KRW 262,000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10 October 2026 reference</w:t>
            </w:r>
          </w:p>
        </w:tc>
      </w:tr>
    </w:tbl>
    <w:p/>
    <w:p>
      <w:r>
        <w:t>SOTP assumptions: DS Memory EBIT KRW 250 tn is split into HBM 26% at 9.0x, server DRAM 34% at 7.0x, client/mobile DRAM 22% at 4.5x, NAND 14% at 3.0x and other memory 4% at 2.5x. This produces a 6.2x effective memory multiple. Foundry and SLSI use KRW 8 tn at 2.0x; DX KRW 20 tn at 8.0x; Display KRW 6 tn at 6.0x; Harman KRW 5 tn at 8.0x; net cash KRW 350 tn.</w:t>
      </w:r>
    </w:p>
    <w:p>
      <w:pPr>
        <w:pStyle w:val="Heading1"/>
      </w:pPr>
      <w:r>
        <w:t>Peer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Business</w:t>
            </w:r>
          </w:p>
        </w:tc>
        <w:tc>
          <w:tcPr>
            <w:tcW w:type="dxa" w:w="3389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Peer</w:t>
            </w:r>
          </w:p>
        </w:tc>
        <w:tc>
          <w:tcPr>
            <w:tcW w:type="dxa" w:w="3389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Reason for inclusion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SK hynix, Micron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Comparable HBM, DRAM and NAND price cycles; capex and inventory drive similar earnings volatility.</w:t>
            </w:r>
          </w:p>
        </w:tc>
      </w:tr>
      <w:tr>
        <w:tc>
          <w:tcPr>
            <w:tcW w:type="dxa" w:w="3389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Foundry</w:t>
            </w:r>
          </w:p>
        </w:tc>
        <w:tc>
          <w:tcPr>
            <w:tcW w:type="dxa" w:w="3389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TSMC</w:t>
            </w:r>
          </w:p>
        </w:tc>
        <w:tc>
          <w:tcPr>
            <w:tcW w:type="dxa" w:w="3389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The clearest pure-play benchmark for utilisation, leading-node execution and capex intensity.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DX demand context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Apple, Xiaomi</w:t>
            </w:r>
          </w:p>
        </w:tc>
        <w:tc>
          <w:tcPr>
            <w:tcW w:type="dxa" w:w="3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Device demand and premium mix context only; not valuation comps for Samsung group EPS.</w:t>
            </w:r>
          </w:p>
        </w:tc>
      </w:tr>
      <w:tr>
        <w:tc>
          <w:tcPr>
            <w:tcW w:type="dxa" w:w="3389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3389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LG Display</w:t>
            </w:r>
          </w:p>
        </w:tc>
        <w:tc>
          <w:tcPr>
            <w:tcW w:type="dxa" w:w="3389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Closest listed display-panel supply-chain benchmark.</w:t>
            </w:r>
          </w:p>
        </w:tc>
      </w:tr>
    </w:tbl>
    <w:p/>
    <w:p>
      <w:r>
        <w:t>A whole-company peer average is intentionally excluded: no peer has Samsung’s mix of memory, foundry, devices, displays and automotive electronics.</w:t>
      </w:r>
    </w:p>
    <w:p>
      <w:pPr>
        <w:pStyle w:val="Heading1"/>
      </w:pPr>
      <w:r>
        <w:t>Catalysts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Catalysts</w:t>
            </w:r>
          </w:p>
        </w:tc>
        <w:tc>
          <w:tcPr>
            <w:tcW w:type="dxa" w:w="5083"/>
            <w:shd w:fill="17365D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  <w:color w:val="FFFFFF"/>
                <w:sz w:val="18"/>
              </w:rPr>
              <w:t>Risks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HBM4E qualification and stronger HBM mix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Memory ASP or bit-demand reversal</w:t>
            </w:r>
          </w:p>
        </w:tc>
      </w:tr>
      <w:tr>
        <w:tc>
          <w:tcPr>
            <w:tcW w:type="dxa" w:w="5083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Tighter memory supply sustaining server pricing</w:t>
            </w:r>
          </w:p>
        </w:tc>
        <w:tc>
          <w:tcPr>
            <w:tcW w:type="dxa" w:w="5083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Foundry yield, utilisation or customer-traction disappointment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3Q detailed results confirming cash conversion</w:t>
            </w:r>
          </w:p>
        </w:tc>
        <w:tc>
          <w:tcPr>
            <w:tcW w:type="dxa" w:w="5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US export restrictions and China demand weakness</w:t>
            </w:r>
          </w:p>
        </w:tc>
      </w:tr>
      <w:tr>
        <w:tc>
          <w:tcPr>
            <w:tcW w:type="dxa" w:w="5083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DX margin resilience as premium mix improves</w:t>
            </w:r>
          </w:p>
        </w:tc>
        <w:tc>
          <w:tcPr>
            <w:tcW w:type="dxa" w:w="5083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sz w:val="18"/>
              </w:rPr>
              <w:t>Terminal-value sensitivity in the DCF framework</w:t>
            </w:r>
          </w:p>
        </w:tc>
      </w:tr>
    </w:tbl>
    <w:p/>
    <w:p>
      <w:pPr>
        <w:pStyle w:val="Heading1"/>
      </w:pPr>
      <w:r>
        <w:t>Update protocol</w:t>
      </w:r>
    </w:p>
    <w:p>
      <w:r>
        <w:t>On the 29 October 2026 detailed Q3 release, update actual revenue, operating profit, net profit, cash, debt, segment revenue/profit, HBM and DRAM/NAND commentary first. Then refresh the SOTP memory EBIT, DCF initial forecast year, RIM net income and book value, and the peer PER normalised EPS. The `Audit` sheet records whether detailed Q3 data are still pending.</w:t>
      </w:r>
    </w:p>
    <w:p>
      <w:pPr>
        <w:pStyle w:val="Heading1"/>
      </w:pPr>
      <w:r>
        <w:t>Sources</w:t>
      </w:r>
    </w:p>
    <w:p>
      <w:r>
        <w:t>Primary sources: Samsung Newsroom Q2 2026 Results (30 July 2026); Samsung Electronics Q2 2026 Earnings Presentation; Reuters Q3 2026 preliminary results (7 October 2026); Yahoo Finance 005930.KS price data (9 October 2026). Full URLs and direct source links are included in the repository README and model source sheet.</w:t>
      </w:r>
    </w:p>
    <w:sectPr w:rsidR="00FC693F" w:rsidRPr="0006063C" w:rsidSect="00034616"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algun Gothi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