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1A41" w14:textId="77777777" w:rsidR="008426AB" w:rsidRDefault="008426AB" w:rsidP="008426AB">
      <w:pPr>
        <w:rPr>
          <w:lang w:eastAsia="en-GB"/>
        </w:rPr>
      </w:pPr>
    </w:p>
    <w:p w14:paraId="7189ECE9" w14:textId="3D8AF05D" w:rsidR="008426AB" w:rsidRDefault="008426AB" w:rsidP="008426AB">
      <w:pPr>
        <w:spacing w:before="100" w:beforeAutospacing="1" w:after="100" w:afterAutospacing="1" w:line="36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sz w:val="56"/>
          <w:szCs w:val="56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633FC40" wp14:editId="7BE46007">
            <wp:extent cx="1638300" cy="397084"/>
            <wp:effectExtent l="0" t="0" r="0" b="3175"/>
            <wp:docPr id="140539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35" cy="4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DCF1" w14:textId="77777777" w:rsidR="0050724F" w:rsidRDefault="0050724F" w:rsidP="008426AB">
      <w:pPr>
        <w:spacing w:before="100" w:beforeAutospacing="1" w:after="100" w:afterAutospacing="1" w:line="36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sz w:val="56"/>
          <w:szCs w:val="56"/>
          <w:lang w:eastAsia="en-GB"/>
          <w14:ligatures w14:val="none"/>
        </w:rPr>
      </w:pPr>
    </w:p>
    <w:p w14:paraId="3E59C3D7" w14:textId="3ADC913B" w:rsidR="00BA025F" w:rsidRPr="00BA025F" w:rsidRDefault="00FF503E" w:rsidP="00BA025F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56"/>
          <w:szCs w:val="56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56"/>
          <w:szCs w:val="56"/>
          <w:lang w:eastAsia="en-GB"/>
          <w14:ligatures w14:val="none"/>
        </w:rPr>
        <w:t xml:space="preserve">Revenue Generation Strategies for </w:t>
      </w:r>
      <w:proofErr w:type="spellStart"/>
      <w:r w:rsidRPr="00FF503E">
        <w:rPr>
          <w:rFonts w:ascii="Bookman Old Style" w:eastAsia="Times New Roman" w:hAnsi="Bookman Old Style" w:cs="Times New Roman"/>
          <w:b/>
          <w:bCs/>
          <w:kern w:val="0"/>
          <w:sz w:val="56"/>
          <w:szCs w:val="56"/>
          <w:lang w:eastAsia="en-GB"/>
          <w14:ligatures w14:val="none"/>
        </w:rPr>
        <w:t>CribLink</w:t>
      </w:r>
      <w:proofErr w:type="spellEnd"/>
    </w:p>
    <w:p w14:paraId="61D4FA18" w14:textId="77777777" w:rsidR="00BA025F" w:rsidRDefault="00BA025F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9F847B6" w14:textId="14BAEAF8" w:rsidR="006E5B38" w:rsidRDefault="00FF503E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Maximizing Monetization Opportunities for a Real Estate Platform</w:t>
      </w:r>
      <w:r w:rsidR="00AA06A7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br/>
      </w:r>
    </w:p>
    <w:p w14:paraId="53FF98F8" w14:textId="617AC2AA" w:rsidR="00AA06A7" w:rsidRDefault="00AA06A7" w:rsidP="00105C87">
      <w:pPr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9FE771C" w14:textId="77777777" w:rsidR="00AA06A7" w:rsidRDefault="00AA06A7" w:rsidP="00105C87">
      <w:pPr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9E3D760" w14:textId="77777777" w:rsidR="00B74349" w:rsidRDefault="00B74349" w:rsidP="00105C87">
      <w:pPr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E1749D8" w14:textId="77777777" w:rsidR="00B74349" w:rsidRDefault="00B74349" w:rsidP="00105C87">
      <w:pPr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B54F246" w14:textId="77777777" w:rsidR="00B74349" w:rsidRDefault="00B74349" w:rsidP="00105C87">
      <w:pPr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81D5938" w14:textId="2E1CD65D" w:rsidR="00E27DFC" w:rsidRPr="00FF503E" w:rsidRDefault="00C53AA9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58F49B6C">
          <v:rect id="_x0000_i1025" style="width:0;height:1.5pt" o:hralign="center" o:hrstd="t" o:hr="t" fillcolor="#a0a0a0" stroked="f"/>
        </w:pict>
      </w:r>
    </w:p>
    <w:p w14:paraId="66E96B5F" w14:textId="77777777" w:rsidR="00FF503E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Date:</w:t>
      </w: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July 11, 2025</w:t>
      </w:r>
    </w:p>
    <w:p w14:paraId="2B9CFD59" w14:textId="6D5C2A94" w:rsidR="005D1584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Prepared by:</w:t>
      </w: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Matthew O. Tedunjaiye, founder and CEO</w:t>
      </w:r>
    </w:p>
    <w:p w14:paraId="2C955E42" w14:textId="6B2F7DE4" w:rsidR="00E27DFC" w:rsidRPr="00F53565" w:rsidRDefault="00C53AA9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73688C03">
          <v:rect id="_x0000_i1026" style="width:0;height:1.5pt" o:hralign="center" o:hrstd="t" o:hr="t" fillcolor="#a0a0a0" stroked="f"/>
        </w:pict>
      </w:r>
    </w:p>
    <w:p w14:paraId="0B6C4F31" w14:textId="1A4A2BA0" w:rsidR="00FF503E" w:rsidRPr="00FF503E" w:rsidRDefault="00FF503E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Table of Contents</w:t>
      </w:r>
    </w:p>
    <w:p w14:paraId="5526C8C4" w14:textId="77777777" w:rsidR="00FF503E" w:rsidRPr="00FF503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Introduction</w:t>
      </w:r>
    </w:p>
    <w:p w14:paraId="4C678DB9" w14:textId="77777777" w:rsidR="00F366C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Revenue Models </w:t>
      </w:r>
    </w:p>
    <w:p w14:paraId="0EC3B054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2.1 Subscription Plans </w:t>
      </w:r>
    </w:p>
    <w:p w14:paraId="16E9FEA3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2.2 Commission-Based Revenue </w:t>
      </w:r>
    </w:p>
    <w:p w14:paraId="3971B3AF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2.3 Advertising and Featured Listings </w:t>
      </w:r>
    </w:p>
    <w:p w14:paraId="59F54F90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2.4 Lead Generation Fees </w:t>
      </w:r>
    </w:p>
    <w:p w14:paraId="42ED4EC9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2.5 Premium Data and Analytics </w:t>
      </w:r>
    </w:p>
    <w:p w14:paraId="4B8D9F13" w14:textId="77777777" w:rsidR="00D1416C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2.6 Partnerships and Integrations </w:t>
      </w:r>
    </w:p>
    <w:p w14:paraId="4BF0E95C" w14:textId="24F44F29" w:rsidR="00FF503E" w:rsidRPr="00FF503E" w:rsidRDefault="00FF503E" w:rsidP="00F366CE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2.7 Transactional Revenue 2.8 White-Label Solutions</w:t>
      </w:r>
    </w:p>
    <w:p w14:paraId="4CFBF59B" w14:textId="77777777" w:rsidR="00051AA8" w:rsidRDefault="00FF503E" w:rsidP="00051A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Implementation Strategies </w:t>
      </w:r>
    </w:p>
    <w:p w14:paraId="11B4F1AC" w14:textId="77777777" w:rsidR="00051AA8" w:rsidRDefault="00FF503E" w:rsidP="00051AA8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3.1 Leveraging Platform Features </w:t>
      </w:r>
    </w:p>
    <w:p w14:paraId="79CF60A8" w14:textId="77777777" w:rsidR="00051AA8" w:rsidRDefault="00FF503E" w:rsidP="00051AA8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3.2 User Role-Specific Monetization </w:t>
      </w:r>
    </w:p>
    <w:p w14:paraId="7435464F" w14:textId="65A804DC" w:rsidR="00FF503E" w:rsidRPr="00FF503E" w:rsidRDefault="00FF503E" w:rsidP="00051AA8">
      <w:pPr>
        <w:spacing w:before="100" w:beforeAutospacing="1" w:after="100" w:afterAutospacing="1" w:line="360" w:lineRule="auto"/>
        <w:ind w:left="720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3.3 Scalability and Market Expansion</w:t>
      </w:r>
    </w:p>
    <w:p w14:paraId="3AD74760" w14:textId="77777777" w:rsidR="00FF503E" w:rsidRPr="00FF503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Technology and Analytics Support</w:t>
      </w:r>
    </w:p>
    <w:p w14:paraId="6FD9FF52" w14:textId="77777777" w:rsidR="00FF503E" w:rsidRPr="00FF503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Challenges and Mitigation</w:t>
      </w:r>
    </w:p>
    <w:p w14:paraId="1924D7A4" w14:textId="77777777" w:rsidR="00FF503E" w:rsidRPr="00FF503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Conclusion</w:t>
      </w:r>
    </w:p>
    <w:p w14:paraId="357162F4" w14:textId="77777777" w:rsidR="00FF503E" w:rsidRPr="00FF503E" w:rsidRDefault="00FF503E" w:rsidP="008173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Contact Information</w:t>
      </w:r>
    </w:p>
    <w:p w14:paraId="40795A6F" w14:textId="77777777" w:rsid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</w:p>
    <w:p w14:paraId="0A1F7CC7" w14:textId="77777777" w:rsidR="00E27DFC" w:rsidRDefault="00E27DFC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</w:p>
    <w:p w14:paraId="0081EE84" w14:textId="77777777" w:rsidR="00E27DFC" w:rsidRPr="00FF503E" w:rsidRDefault="00E27DFC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</w:p>
    <w:p w14:paraId="077B0600" w14:textId="77777777" w:rsidR="00FF503E" w:rsidRPr="00FF503E" w:rsidRDefault="00FF503E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15A1F27D" w14:textId="77777777" w:rsidR="00FF503E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is a robust real estate platform designed to connect clients, agents, and administrators with comprehensive features. This document explores sustainable and scalable revenue streams by leveraging </w:t>
      </w:r>
      <w:proofErr w:type="spellStart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CribLink's</w:t>
      </w:r>
      <w:proofErr w:type="spellEnd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existing infrastructure, diverse user roles, and advanced technology stack (Node.js, PostgreSQL, React, </w:t>
      </w:r>
      <w:proofErr w:type="spellStart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, Socket.IO). The core objective is to align revenue models with an exceptional user experience and foster long-term platform growth.</w:t>
      </w:r>
    </w:p>
    <w:p w14:paraId="00E059A4" w14:textId="77777777" w:rsidR="00FF503E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4FC303F1">
          <v:rect id="_x0000_i1036" style="width:0;height:1.5pt" o:hralign="center" o:bullet="t" o:hrstd="t" o:hr="t" fillcolor="#a0a0a0" stroked="f"/>
        </w:pict>
      </w:r>
    </w:p>
    <w:p w14:paraId="7CB7D2D4" w14:textId="77777777" w:rsidR="00696722" w:rsidRPr="00FF503E" w:rsidRDefault="00696722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</w:p>
    <w:p w14:paraId="39DB8CD8" w14:textId="77777777" w:rsidR="00FF503E" w:rsidRPr="00FF503E" w:rsidRDefault="00FF503E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2. Revenue Models</w:t>
      </w:r>
    </w:p>
    <w:p w14:paraId="36B71103" w14:textId="77777777" w:rsidR="00FF503E" w:rsidRPr="00FF503E" w:rsidRDefault="00FF503E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2.1 Subscription Plans </w:t>
      </w:r>
      <w:r w:rsidRPr="00FF50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💰</w:t>
      </w:r>
    </w:p>
    <w:p w14:paraId="28147D87" w14:textId="77777777" w:rsidR="00FF503E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will adopt a </w:t>
      </w:r>
      <w:r w:rsidRPr="00FF503E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freemium model</w:t>
      </w: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offering basic features for free, with paid plans unlocking advanced capabilities for various user types.</w:t>
      </w:r>
    </w:p>
    <w:p w14:paraId="35206AED" w14:textId="77777777" w:rsidR="00FF503E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🔓</w:t>
      </w:r>
      <w:r w:rsidRPr="00FF503E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Free Plan (Clients &amp; Agents):</w:t>
      </w:r>
    </w:p>
    <w:p w14:paraId="37B2D97E" w14:textId="77777777" w:rsidR="00FF503E" w:rsidRPr="00FF503E" w:rsidRDefault="00FF503E" w:rsidP="008173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Search properties</w:t>
      </w:r>
    </w:p>
    <w:p w14:paraId="634E96FB" w14:textId="77777777" w:rsidR="00FF503E" w:rsidRPr="00FF503E" w:rsidRDefault="00FF503E" w:rsidP="008173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Basic inquiries</w:t>
      </w:r>
    </w:p>
    <w:p w14:paraId="5902FDB7" w14:textId="64D82D18" w:rsidR="00FF503E" w:rsidRPr="00FF503E" w:rsidRDefault="00FF503E" w:rsidP="008173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Limited saved favo</w:t>
      </w:r>
      <w:r w:rsidR="007C6299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u</w:t>
      </w: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rites</w:t>
      </w:r>
    </w:p>
    <w:p w14:paraId="62CC29D9" w14:textId="7072A2C9" w:rsidR="00FF503E" w:rsidRPr="00FF503E" w:rsidRDefault="00FF503E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FF503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💼</w:t>
      </w:r>
      <w:r w:rsidRPr="00FF503E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Paid Plans (Agents):</w:t>
      </w:r>
      <w:r w:rsidRPr="00FF503E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Tiered plans for agents will offer benefits like increased listing visibility, access to advanced analytics, and priority inquiry handling.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819"/>
      </w:tblGrid>
      <w:tr w:rsidR="00FF503E" w:rsidRPr="00F53565" w14:paraId="7C689969" w14:textId="77777777" w:rsidTr="00D013B2">
        <w:tc>
          <w:tcPr>
            <w:tcW w:w="1555" w:type="dxa"/>
          </w:tcPr>
          <w:p w14:paraId="7AB44A82" w14:textId="40B1B30E" w:rsidR="00FF503E" w:rsidRPr="00CC61F6" w:rsidRDefault="00FF503E" w:rsidP="0081732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 w:rsidRPr="00CC61F6">
              <w:rPr>
                <w:rFonts w:ascii="Bookman Old Style" w:hAnsi="Bookman Old Style"/>
                <w:b/>
                <w:bCs/>
              </w:rPr>
              <w:lastRenderedPageBreak/>
              <w:t>Plan</w:t>
            </w:r>
          </w:p>
        </w:tc>
        <w:tc>
          <w:tcPr>
            <w:tcW w:w="2976" w:type="dxa"/>
          </w:tcPr>
          <w:p w14:paraId="719B59C1" w14:textId="59921F4A" w:rsidR="00FF503E" w:rsidRPr="00CC61F6" w:rsidRDefault="00FF503E" w:rsidP="0081732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 w:rsidRPr="00CC61F6">
              <w:rPr>
                <w:rFonts w:ascii="Bookman Old Style" w:hAnsi="Bookman Old Style"/>
                <w:b/>
                <w:bCs/>
              </w:rPr>
              <w:t>Price (Monthly, NGN)</w:t>
            </w:r>
          </w:p>
        </w:tc>
        <w:tc>
          <w:tcPr>
            <w:tcW w:w="4819" w:type="dxa"/>
          </w:tcPr>
          <w:p w14:paraId="6FCF3D1E" w14:textId="6B20C159" w:rsidR="00FF503E" w:rsidRPr="00CC61F6" w:rsidRDefault="00FF503E" w:rsidP="0081732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 w:rsidRPr="00CC61F6">
              <w:rPr>
                <w:rFonts w:ascii="Bookman Old Style" w:hAnsi="Bookman Old Style"/>
                <w:b/>
                <w:bCs/>
              </w:rPr>
              <w:t>Features</w:t>
            </w:r>
          </w:p>
        </w:tc>
      </w:tr>
      <w:tr w:rsidR="00FF503E" w:rsidRPr="00F53565" w14:paraId="2C15D7B2" w14:textId="77777777" w:rsidTr="00D013B2">
        <w:tc>
          <w:tcPr>
            <w:tcW w:w="1555" w:type="dxa"/>
          </w:tcPr>
          <w:p w14:paraId="53D2588A" w14:textId="51125039" w:rsidR="00FF503E" w:rsidRPr="00F53565" w:rsidRDefault="00744EC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Basic</w:t>
            </w:r>
          </w:p>
        </w:tc>
        <w:tc>
          <w:tcPr>
            <w:tcW w:w="2976" w:type="dxa"/>
          </w:tcPr>
          <w:p w14:paraId="479B88AA" w14:textId="4D675C13" w:rsidR="00FF503E" w:rsidRPr="00F53565" w:rsidRDefault="00384205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5,000</w:t>
            </w:r>
          </w:p>
        </w:tc>
        <w:tc>
          <w:tcPr>
            <w:tcW w:w="4819" w:type="dxa"/>
          </w:tcPr>
          <w:p w14:paraId="34D6B621" w14:textId="3DE0A062" w:rsidR="00FF503E" w:rsidRPr="00F53565" w:rsidRDefault="00FF503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Up to 5 listings, basic analytics, standard inquiry management</w:t>
            </w:r>
            <w:r w:rsidR="002A7AB2">
              <w:rPr>
                <w:rFonts w:ascii="Bookman Old Style" w:hAnsi="Bookman Old Style"/>
              </w:rPr>
              <w:t>.</w:t>
            </w:r>
          </w:p>
        </w:tc>
      </w:tr>
      <w:tr w:rsidR="00FF503E" w:rsidRPr="00F53565" w14:paraId="2FC0E9A1" w14:textId="77777777" w:rsidTr="00D013B2">
        <w:tc>
          <w:tcPr>
            <w:tcW w:w="1555" w:type="dxa"/>
          </w:tcPr>
          <w:p w14:paraId="5D009AFC" w14:textId="7CF932EC" w:rsidR="00FF503E" w:rsidRPr="00F53565" w:rsidRDefault="00744EC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Pro</w:t>
            </w:r>
          </w:p>
        </w:tc>
        <w:tc>
          <w:tcPr>
            <w:tcW w:w="2976" w:type="dxa"/>
          </w:tcPr>
          <w:p w14:paraId="7B468EC8" w14:textId="6C5D7758" w:rsidR="00FF503E" w:rsidRPr="00F53565" w:rsidRDefault="00744EC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15,000</w:t>
            </w:r>
          </w:p>
        </w:tc>
        <w:tc>
          <w:tcPr>
            <w:tcW w:w="4819" w:type="dxa"/>
          </w:tcPr>
          <w:p w14:paraId="5CE09BAB" w14:textId="10348999" w:rsidR="00FF503E" w:rsidRPr="00F53565" w:rsidRDefault="00FF503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Unlimited listings, lead tracking, performance dashboard analytics, VIP client management.</w:t>
            </w:r>
          </w:p>
        </w:tc>
      </w:tr>
      <w:tr w:rsidR="00FF503E" w:rsidRPr="00F53565" w14:paraId="2142266B" w14:textId="77777777" w:rsidTr="00D013B2">
        <w:tc>
          <w:tcPr>
            <w:tcW w:w="1555" w:type="dxa"/>
          </w:tcPr>
          <w:p w14:paraId="16CF9EA8" w14:textId="57A2612C" w:rsidR="00FF503E" w:rsidRPr="00F53565" w:rsidRDefault="00744EC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Premium</w:t>
            </w:r>
          </w:p>
        </w:tc>
        <w:tc>
          <w:tcPr>
            <w:tcW w:w="2976" w:type="dxa"/>
          </w:tcPr>
          <w:p w14:paraId="36064C5A" w14:textId="1F4F5265" w:rsidR="00FF503E" w:rsidRPr="00F53565" w:rsidRDefault="00744ECE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30,000</w:t>
            </w:r>
          </w:p>
        </w:tc>
        <w:tc>
          <w:tcPr>
            <w:tcW w:w="4819" w:type="dxa"/>
          </w:tcPr>
          <w:p w14:paraId="2AABF0D0" w14:textId="4C6AFB00" w:rsidR="00FF503E" w:rsidRPr="00F53565" w:rsidRDefault="00384205" w:rsidP="00817322">
            <w:pPr>
              <w:spacing w:line="360" w:lineRule="auto"/>
              <w:rPr>
                <w:rFonts w:ascii="Bookman Old Style" w:hAnsi="Bookman Old Style"/>
              </w:rPr>
            </w:pPr>
            <w:r w:rsidRPr="00F53565">
              <w:rPr>
                <w:rFonts w:ascii="Bookman Old Style" w:hAnsi="Bookman Old Style"/>
              </w:rPr>
              <w:t>All Pro features plus priority listing placement, CRM tools, bulk uploads, custom branding, featured listings, and CRM integrations.</w:t>
            </w:r>
          </w:p>
        </w:tc>
      </w:tr>
    </w:tbl>
    <w:p w14:paraId="5EBD29D4" w14:textId="77777777" w:rsidR="00D34C92" w:rsidRPr="00F53565" w:rsidRDefault="00D34C92" w:rsidP="00817322">
      <w:pPr>
        <w:spacing w:line="360" w:lineRule="auto"/>
        <w:rPr>
          <w:rFonts w:ascii="Bookman Old Style" w:hAnsi="Bookman Old Style"/>
        </w:rPr>
      </w:pPr>
    </w:p>
    <w:p w14:paraId="0C5CFE5D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Client Subscriptions: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Optional premium accounts for clients will offer benefits like exclusive access to recommended listings, priority agent connections, and ad-free Browse.</w:t>
      </w:r>
    </w:p>
    <w:p w14:paraId="6696F313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GB"/>
          <w14:ligatures w14:val="none"/>
        </w:rPr>
        <w:t>🛡</w:t>
      </w: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Admin-Only Bonus (Admin Tools):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Subscription for advanced admin analytics and reporting tools for large agencies or third-party administrators. Admins can manage which listings get featured.</w:t>
      </w:r>
    </w:p>
    <w:p w14:paraId="47F81012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2.2 Commission-Based Revenue </w:t>
      </w:r>
      <w:r w:rsidRPr="003576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🧾</w:t>
      </w:r>
    </w:p>
    <w:p w14:paraId="128D5929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will charge a percentage on successful property transactions facilitated through the platform.</w:t>
      </w:r>
    </w:p>
    <w:p w14:paraId="53A22C78" w14:textId="77777777" w:rsidR="0035763B" w:rsidRPr="0035763B" w:rsidRDefault="0035763B" w:rsidP="0081732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Commission Rate: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A percentage (e.g., </w:t>
      </w: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1-2% of deal value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) could be negotiated and charged on successful property transactions brokered through the platform.</w:t>
      </w:r>
    </w:p>
    <w:p w14:paraId="0F90E8BD" w14:textId="77777777" w:rsidR="0035763B" w:rsidRPr="0035763B" w:rsidRDefault="0035763B" w:rsidP="0081732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Payment Integration: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Integrate payment processing (e.g., Stripe or PayPal) via 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/finance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API endpoints to track closed deals.</w:t>
      </w:r>
    </w:p>
    <w:p w14:paraId="453D58C7" w14:textId="77777777" w:rsidR="0035763B" w:rsidRPr="0035763B" w:rsidRDefault="0035763B" w:rsidP="0081732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Incentivization: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Offer tiered commission rates based on agent subscription levels to incentivize upgrades.</w:t>
      </w:r>
    </w:p>
    <w:p w14:paraId="5D839405" w14:textId="77777777" w:rsidR="0035763B" w:rsidRPr="0035763B" w:rsidRDefault="0035763B" w:rsidP="0081732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Note: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This model requires careful legal and financial integration and is an option for Phase 2 scaling.</w:t>
      </w:r>
    </w:p>
    <w:p w14:paraId="1BD279D5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2.3 Advertising and Featured Listings </w:t>
      </w:r>
      <w:r w:rsidRPr="003576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⭐📣</w:t>
      </w:r>
    </w:p>
    <w:p w14:paraId="74989713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Monetize prime visibility spots on the platform.</w:t>
      </w:r>
    </w:p>
    <w:p w14:paraId="1CE8A4AC" w14:textId="77777777" w:rsidR="0035763B" w:rsidRPr="0035763B" w:rsidRDefault="0035763B" w:rsidP="0081732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Featured Listings (Pay-to-Boost):</w:t>
      </w:r>
    </w:p>
    <w:p w14:paraId="24021C33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Charge agents or property owners to promote listings at the top of the homepage or search results.</w:t>
      </w:r>
    </w:p>
    <w:p w14:paraId="00008F79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Price: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NGN 1,000-3,000 per listing/week.</w:t>
      </w:r>
    </w:p>
    <w:p w14:paraId="308CB840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Benefits: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Visual badge and higher exposure lead to more leads.</w:t>
      </w:r>
    </w:p>
    <w:p w14:paraId="218537EF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Management: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Leverage the admin’s ability to “feature” listings with auto-expiry for renewals.</w:t>
      </w:r>
    </w:p>
    <w:p w14:paraId="0EBF946F" w14:textId="77777777" w:rsidR="0035763B" w:rsidRPr="0035763B" w:rsidRDefault="0035763B" w:rsidP="0081732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Third-Party Ads:</w:t>
      </w:r>
    </w:p>
    <w:p w14:paraId="66AE1A2C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Display targeted advertisements for real estate-related services (e.g., mortgage providers, home inspectors).</w:t>
      </w:r>
    </w:p>
    <w:p w14:paraId="402EFE80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Tracking: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Use Google Analytics ID integration for ad tracking.</w:t>
      </w:r>
    </w:p>
    <w:p w14:paraId="65E63948" w14:textId="77777777" w:rsidR="0035763B" w:rsidRPr="0035763B" w:rsidRDefault="0035763B" w:rsidP="0081732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Sponsored Agent Profiles:</w:t>
      </w:r>
    </w:p>
    <w:p w14:paraId="4C30759E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Allow agents to pay for enhanced visibility in client searches.</w:t>
      </w:r>
    </w:p>
    <w:p w14:paraId="7A1D0EE7" w14:textId="77777777" w:rsidR="0035763B" w:rsidRPr="0035763B" w:rsidRDefault="0035763B" w:rsidP="0081732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Ad Slots / Sponsored Content:</w:t>
      </w:r>
    </w:p>
    <w:p w14:paraId="47D1B252" w14:textId="77777777" w:rsidR="0035763B" w:rsidRPr="0035763B" w:rsidRDefault="0035763B" w:rsidP="0081732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Let agents or real estate service companies pay for homepage banners, sidebar cards, email newsletter slots, or sponsored blog posts (tips, listings, trends). Placement is controlled via the admin panel.</w:t>
      </w:r>
    </w:p>
    <w:p w14:paraId="52B2DE1D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2.4 Lead Generation Fees </w:t>
      </w:r>
      <w:r w:rsidRPr="003576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📞</w:t>
      </w:r>
    </w:p>
    <w:p w14:paraId="32FFCEB6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Charge agents for qualified leads generated through the platform.</w:t>
      </w:r>
    </w:p>
    <w:p w14:paraId="1AA9DD3C" w14:textId="77777777" w:rsidR="0035763B" w:rsidRPr="0035763B" w:rsidRDefault="0035763B" w:rsidP="0081732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Pay-per-Lead Model:</w:t>
      </w:r>
    </w:p>
    <w:p w14:paraId="0198F45B" w14:textId="77777777" w:rsidR="0035763B" w:rsidRPr="0035763B" w:rsidRDefault="0035763B" w:rsidP="0081732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lastRenderedPageBreak/>
        <w:t>Charge agents per qualified lead generated through client inquiries or connection requests.</w:t>
      </w:r>
    </w:p>
    <w:p w14:paraId="63E30B51" w14:textId="77777777" w:rsidR="0035763B" w:rsidRPr="0035763B" w:rsidRDefault="0035763B" w:rsidP="0081732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Price: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NGN 500-1,000 per verified inquiry.</w:t>
      </w:r>
    </w:p>
    <w:p w14:paraId="18360E7A" w14:textId="77777777" w:rsidR="0035763B" w:rsidRPr="0035763B" w:rsidRDefault="0035763B" w:rsidP="0081732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Pay-per-Connection Model:</w:t>
      </w:r>
    </w:p>
    <w:p w14:paraId="6CD61A69" w14:textId="77777777" w:rsidR="0035763B" w:rsidRPr="0035763B" w:rsidRDefault="0035763B" w:rsidP="0081732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Agents pay for each accepted client connection.</w:t>
      </w:r>
    </w:p>
    <w:p w14:paraId="6CC021E8" w14:textId="77777777" w:rsidR="0035763B" w:rsidRPr="0035763B" w:rsidRDefault="0035763B" w:rsidP="0081732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Tracking: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Use inquiry management and real-time messaging features to track and monetize leads.</w:t>
      </w:r>
    </w:p>
    <w:p w14:paraId="21E1B38D" w14:textId="77777777" w:rsidR="0035763B" w:rsidRPr="0035763B" w:rsidRDefault="0035763B" w:rsidP="0081732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Optional: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Allow bulk lead credits for discounts.</w:t>
      </w:r>
    </w:p>
    <w:p w14:paraId="6AB1DBD9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2.5 Premium Data and Analytics </w:t>
      </w:r>
      <w:r w:rsidRPr="003576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📈</w:t>
      </w:r>
    </w:p>
    <w:p w14:paraId="444BF371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Monetize valuable market insights and platform data.</w:t>
      </w:r>
    </w:p>
    <w:p w14:paraId="30C70733" w14:textId="77777777" w:rsidR="0035763B" w:rsidRPr="0035763B" w:rsidRDefault="0035763B" w:rsidP="0081732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Anonymized Market Data:</w:t>
      </w:r>
    </w:p>
    <w:p w14:paraId="5E6BFE80" w14:textId="78DBE25E" w:rsidR="0035763B" w:rsidRPr="0035763B" w:rsidRDefault="0035763B" w:rsidP="0081732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Sell anonymized market data and trends (e.g., listing trends, user behavio</w:t>
      </w:r>
      <w:r w:rsidR="00EF265A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u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r) to real estate firms, developers, or investors via 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/admin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analytics endpoints.</w:t>
      </w:r>
    </w:p>
    <w:p w14:paraId="700F5F92" w14:textId="77777777" w:rsidR="0035763B" w:rsidRPr="0035763B" w:rsidRDefault="0035763B" w:rsidP="0081732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Premium Dashboards:</w:t>
      </w:r>
    </w:p>
    <w:p w14:paraId="18D25389" w14:textId="77777777" w:rsidR="0035763B" w:rsidRPr="0035763B" w:rsidRDefault="0035763B" w:rsidP="0081732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Offer premium dashboards with detailed insights (e.g., revenue trends, deal closure rates) to high-tier agent subscribers (can be bundled in a Pro+ tier).</w:t>
      </w:r>
    </w:p>
    <w:p w14:paraId="57DB6D09" w14:textId="77777777" w:rsidR="0035763B" w:rsidRPr="0035763B" w:rsidRDefault="0035763B" w:rsidP="0081732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API Access:</w:t>
      </w:r>
    </w:p>
    <w:p w14:paraId="17F2C9F0" w14:textId="77777777" w:rsidR="0035763B" w:rsidRPr="0035763B" w:rsidRDefault="0035763B" w:rsidP="0081732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Provide API access to analytics for third-party integration (redirect to </w:t>
      </w:r>
      <w:hyperlink r:id="rId6" w:tgtFrame="_blank" w:history="1">
        <w:r w:rsidRPr="0035763B">
          <w:rPr>
            <w:rFonts w:ascii="Bookman Old Style" w:eastAsia="Times New Roman" w:hAnsi="Bookman Old Style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https://x.ai/api</w:t>
        </w:r>
      </w:hyperlink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for details).</w:t>
      </w:r>
    </w:p>
    <w:p w14:paraId="5839C398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2.6 Partnerships and Integrations </w:t>
      </w:r>
      <w:r w:rsidRPr="003576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🛍</w:t>
      </w: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️</w:t>
      </w:r>
    </w:p>
    <w:p w14:paraId="3B117C08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Generate revenue through strategic alliances and service enhancements.</w:t>
      </w:r>
    </w:p>
    <w:p w14:paraId="28D00245" w14:textId="77777777" w:rsidR="0035763B" w:rsidRPr="0035763B" w:rsidRDefault="0035763B" w:rsidP="008173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Referral Fees:</w:t>
      </w:r>
    </w:p>
    <w:p w14:paraId="4EF3CFDB" w14:textId="77777777" w:rsidR="0035763B" w:rsidRPr="0035763B" w:rsidRDefault="0035763B" w:rsidP="0081732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lastRenderedPageBreak/>
        <w:t>Partner with mortgage providers, insurance companies, or moving services to offer integrated services on the platform, earning referral fees.</w:t>
      </w:r>
    </w:p>
    <w:p w14:paraId="7A79E6A3" w14:textId="77777777" w:rsidR="0035763B" w:rsidRPr="0035763B" w:rsidRDefault="0035763B" w:rsidP="008173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Premium Storage:</w:t>
      </w:r>
    </w:p>
    <w:p w14:paraId="3191F280" w14:textId="77777777" w:rsidR="0035763B" w:rsidRPr="0035763B" w:rsidRDefault="0035763B" w:rsidP="0081732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Monetize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integration by offering premium image storage plans for high-volume agents.</w:t>
      </w:r>
    </w:p>
    <w:p w14:paraId="4710F8EF" w14:textId="77777777" w:rsidR="0035763B" w:rsidRPr="0035763B" w:rsidRDefault="0035763B" w:rsidP="008173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CRM Tool Integration:</w:t>
      </w:r>
    </w:p>
    <w:p w14:paraId="712AB9E5" w14:textId="77777777" w:rsidR="0035763B" w:rsidRPr="0035763B" w:rsidRDefault="0035763B" w:rsidP="0081732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Integrate with CRM tools (e.g., Salesforce) and charge for seamless data syncing.</w:t>
      </w:r>
    </w:p>
    <w:p w14:paraId="0F2A7490" w14:textId="77777777" w:rsidR="0035763B" w:rsidRPr="0035763B" w:rsidRDefault="0035763B" w:rsidP="008173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Mini-Marketplace:</w:t>
      </w:r>
    </w:p>
    <w:p w14:paraId="6AC68137" w14:textId="77777777" w:rsidR="0035763B" w:rsidRPr="0035763B" w:rsidRDefault="0035763B" w:rsidP="0081732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Add a mini marketplace or service plug-ins for property buyers/tenants (e.g., interior design, home cleaning services, mortgage pre-approvals, insurance quotes). This can generate commission per referral and ad slot fees from vendors.</w:t>
      </w:r>
    </w:p>
    <w:p w14:paraId="5C581111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2.7 Transactional Revenue</w:t>
      </w:r>
    </w:p>
    <w:p w14:paraId="39939D35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Charge for specific in-app actions or premium content.</w:t>
      </w:r>
    </w:p>
    <w:p w14:paraId="6F02C089" w14:textId="77777777" w:rsidR="0035763B" w:rsidRPr="0035763B" w:rsidRDefault="0035763B" w:rsidP="008173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Micro-transactions:</w:t>
      </w:r>
    </w:p>
    <w:p w14:paraId="57A13025" w14:textId="77777777" w:rsidR="0035763B" w:rsidRPr="0035763B" w:rsidRDefault="0035763B" w:rsidP="0081732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Charge micro-transactions for premium features like priority inquiry responses or additional listing uploads beyond a free tier.</w:t>
      </w:r>
    </w:p>
    <w:p w14:paraId="5DC0D654" w14:textId="77777777" w:rsidR="0035763B" w:rsidRPr="0035763B" w:rsidRDefault="0035763B" w:rsidP="008173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In-app Purchases:</w:t>
      </w:r>
    </w:p>
    <w:p w14:paraId="49EB3B04" w14:textId="77777777" w:rsidR="0035763B" w:rsidRPr="0035763B" w:rsidRDefault="0035763B" w:rsidP="0081732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Implement in-app purchases for clients (e.g., unlocking detailed property reports or virtual tours).</w:t>
      </w:r>
    </w:p>
    <w:p w14:paraId="6043F4DF" w14:textId="77777777" w:rsidR="0035763B" w:rsidRPr="0035763B" w:rsidRDefault="0035763B" w:rsidP="008173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Management: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Use 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/finance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endpoints to manage and track transactional revenue.</w:t>
      </w:r>
    </w:p>
    <w:p w14:paraId="2A1608D9" w14:textId="77777777" w:rsidR="0035763B" w:rsidRPr="0035763B" w:rsidRDefault="0035763B" w:rsidP="008173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Document Templates / Legal Tools:</w:t>
      </w:r>
    </w:p>
    <w:p w14:paraId="2A5E2DA6" w14:textId="77777777" w:rsidR="0035763B" w:rsidRPr="0035763B" w:rsidRDefault="0035763B" w:rsidP="0081732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Offer downloadable templates for lease agreements, agent-client contracts, or property inspection checklists.</w:t>
      </w:r>
    </w:p>
    <w:p w14:paraId="7A09F159" w14:textId="77777777" w:rsidR="0035763B" w:rsidRPr="0035763B" w:rsidRDefault="0035763B" w:rsidP="0081732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Price: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Free preview,</w:t>
      </w:r>
      <w:proofErr w:type="gram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paid full version (NGN 1,000-5,000 each).</w:t>
      </w:r>
    </w:p>
    <w:p w14:paraId="6A7CDE70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2.8 White-Label Solutions </w:t>
      </w:r>
      <w:r w:rsidRPr="003576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🧩</w:t>
      </w:r>
    </w:p>
    <w:p w14:paraId="536E594F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Offer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CribLink's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platform as a customizable solution for large organizations.</w:t>
      </w:r>
    </w:p>
    <w:p w14:paraId="4B6517BF" w14:textId="77777777" w:rsidR="0035763B" w:rsidRPr="0035763B" w:rsidRDefault="0035763B" w:rsidP="0081732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Licensing Fees:</w:t>
      </w:r>
    </w:p>
    <w:p w14:paraId="004CD162" w14:textId="77777777" w:rsidR="0035763B" w:rsidRPr="0035763B" w:rsidRDefault="0035763B" w:rsidP="0081732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Offer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CribLink’s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platform as a white-label solution for real estate agencies or developers, charging licensing fees.</w:t>
      </w:r>
    </w:p>
    <w:p w14:paraId="1E094BA9" w14:textId="77777777" w:rsidR="0035763B" w:rsidRPr="0035763B" w:rsidRDefault="0035763B" w:rsidP="0081732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Price: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NGN 200,000+ one-time setup fee + monthly support fee.</w:t>
      </w:r>
    </w:p>
    <w:p w14:paraId="65A84891" w14:textId="77777777" w:rsidR="0035763B" w:rsidRPr="0035763B" w:rsidRDefault="0035763B" w:rsidP="0081732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Customization:</w:t>
      </w:r>
    </w:p>
    <w:p w14:paraId="03F4D76B" w14:textId="77777777" w:rsidR="0035763B" w:rsidRPr="0035763B" w:rsidRDefault="0035763B" w:rsidP="0081732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Customize frontend (React, Tailwind CSS) and backend (Node.js, PostgreSQL) for specific agency branding (custom domains,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, logos, dedicated admin access).</w:t>
      </w:r>
    </w:p>
    <w:p w14:paraId="62F8D732" w14:textId="77777777" w:rsidR="0035763B" w:rsidRPr="0035763B" w:rsidRDefault="0035763B" w:rsidP="0081732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Support:</w:t>
      </w:r>
    </w:p>
    <w:p w14:paraId="7F648342" w14:textId="77777777" w:rsidR="0035763B" w:rsidRPr="0035763B" w:rsidRDefault="0035763B" w:rsidP="0081732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Provide ongoing support and updates for a recurring fee.</w:t>
      </w:r>
    </w:p>
    <w:p w14:paraId="4E0C82F9" w14:textId="77777777" w:rsidR="0035763B" w:rsidRPr="0035763B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74D2F1C1">
          <v:rect id="_x0000_i1028" style="width:0;height:1.5pt" o:hralign="center" o:hrstd="t" o:hr="t" fillcolor="#a0a0a0" stroked="f"/>
        </w:pict>
      </w:r>
    </w:p>
    <w:p w14:paraId="51095802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3. Implementation Strategies</w:t>
      </w:r>
    </w:p>
    <w:p w14:paraId="6E821E7D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3.1 Leveraging Platform Features</w:t>
      </w:r>
    </w:p>
    <w:p w14:paraId="10D8927B" w14:textId="77777777" w:rsidR="0035763B" w:rsidRPr="0035763B" w:rsidRDefault="0035763B" w:rsidP="0081732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Real-time Communication (Socket.IO):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Upsell premium messaging features for faster client-agent interactions.</w:t>
      </w:r>
    </w:p>
    <w:p w14:paraId="5F782FE7" w14:textId="77777777" w:rsidR="0035763B" w:rsidRPr="0035763B" w:rsidRDefault="0035763B" w:rsidP="0081732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Enhanced Search and Filtering: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Promote featured listings or premium content through advanced property search and filtering.</w:t>
      </w:r>
    </w:p>
    <w:p w14:paraId="20D2AC1A" w14:textId="77777777" w:rsidR="0035763B" w:rsidRPr="0035763B" w:rsidRDefault="0035763B" w:rsidP="0081732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Integration: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Utilize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for high-quality image uploads, offering tiered storage plans for agents.</w:t>
      </w:r>
    </w:p>
    <w:p w14:paraId="4D212C99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3.2 User Role-Specific Monetization</w:t>
      </w:r>
    </w:p>
    <w:p w14:paraId="0CB8CA8B" w14:textId="77777777" w:rsidR="0035763B" w:rsidRPr="0035763B" w:rsidRDefault="0035763B" w:rsidP="0081732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Clients: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Monetize through premium accounts and transactional fees for exclusive features like recommended listings, priority connections, ad-free Browse, detailed property reports, or virtual tours.</w:t>
      </w:r>
    </w:p>
    <w:p w14:paraId="283EEB9F" w14:textId="77777777" w:rsidR="0035763B" w:rsidRPr="0035763B" w:rsidRDefault="0035763B" w:rsidP="0081732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Agents: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Focus on subscriptions (Basic, Pro, Premium), lead generation (pay-per-lead, pay-per-connection), and featured listings (pay-to-boost) to drive significant revenue.</w:t>
      </w:r>
    </w:p>
    <w:p w14:paraId="10E20449" w14:textId="77777777" w:rsidR="0035763B" w:rsidRPr="0035763B" w:rsidRDefault="0035763B" w:rsidP="0081732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Admins: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Offer advanced tools and analytics for large-scale management, targeting agencies and third-party administrators with specific subscription plans.</w:t>
      </w:r>
    </w:p>
    <w:p w14:paraId="49CB2FF9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t>3.3 Scalability and Market Expansion</w:t>
      </w:r>
    </w:p>
    <w:p w14:paraId="12FC39ED" w14:textId="77777777" w:rsidR="0035763B" w:rsidRPr="0035763B" w:rsidRDefault="0035763B" w:rsidP="0081732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Market Localization: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Expand to new markets by localizing search filters (location, currency) and partnering with regional real estate boards.</w:t>
      </w:r>
    </w:p>
    <w:p w14:paraId="71470419" w14:textId="77777777" w:rsidR="0035763B" w:rsidRPr="0035763B" w:rsidRDefault="0035763B" w:rsidP="0081732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Infrastructure Scaling: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Scale backend infrastructure (Node.js, PostgreSQL) to handle increased user traffic and transactions.</w:t>
      </w:r>
    </w:p>
    <w:p w14:paraId="4C752C77" w14:textId="77777777" w:rsidR="0035763B" w:rsidRPr="0035763B" w:rsidRDefault="0035763B" w:rsidP="0081732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Mobile Optimization: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Use responsive design (Tailwind CSS) to target mobile users, increasing potential ad and subscription revenue.</w:t>
      </w:r>
    </w:p>
    <w:p w14:paraId="4637B4F6" w14:textId="77777777" w:rsidR="0035763B" w:rsidRPr="0035763B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5B915C8B">
          <v:rect id="_x0000_i1029" style="width:0;height:1.5pt" o:hralign="center" o:hrstd="t" o:hr="t" fillcolor="#a0a0a0" stroked="f"/>
        </w:pict>
      </w:r>
    </w:p>
    <w:p w14:paraId="62261223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4. Technology and Analytics Support</w:t>
      </w:r>
    </w:p>
    <w:p w14:paraId="6992C192" w14:textId="77777777" w:rsidR="0035763B" w:rsidRPr="0035763B" w:rsidRDefault="0035763B" w:rsidP="0081732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Revenue Tracking: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Leverage 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/admin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system analytics for comprehensive revenue tracking and optimization (e.g., monitor subscription uptake, ad clicks, deal closure rates).</w:t>
      </w:r>
    </w:p>
    <w:p w14:paraId="3E18FDB8" w14:textId="268818FA" w:rsidR="0035763B" w:rsidRPr="0035763B" w:rsidRDefault="0035763B" w:rsidP="0081732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User Engagement: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Use Google Analytics ID integration to measure user engagement and refine monetization strategies based on user behavio</w:t>
      </w:r>
      <w:r w:rsidR="00EF265A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u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r.</w:t>
      </w:r>
    </w:p>
    <w:p w14:paraId="5FCA4319" w14:textId="77777777" w:rsidR="0035763B" w:rsidRPr="0035763B" w:rsidRDefault="0035763B" w:rsidP="0081732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Seamless Processing: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Implement robust error handling and dedicated API endpoints (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/finance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5763B">
        <w:rPr>
          <w:rFonts w:ascii="Bookman Old Style" w:eastAsia="Times New Roman" w:hAnsi="Bookman Old Style" w:cs="Courier New"/>
          <w:kern w:val="0"/>
          <w:sz w:val="20"/>
          <w:szCs w:val="20"/>
          <w:lang w:eastAsia="en-GB"/>
          <w14:ligatures w14:val="none"/>
        </w:rPr>
        <w:t>/listings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) to ensure seamless payment processing and efficient data management.</w:t>
      </w:r>
    </w:p>
    <w:p w14:paraId="6D7D0C51" w14:textId="77777777" w:rsidR="0035763B" w:rsidRPr="0035763B" w:rsidRDefault="0035763B" w:rsidP="0081732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Authentication &amp; Admin Add-ons: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Leverage strong admin controls to offer "multi-agent teams" for premium accounts, 2FA, audit logs, and CRM integrations as Pro features, and role-based granular permissions for white-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labeled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instances.</w:t>
      </w:r>
    </w:p>
    <w:p w14:paraId="714E7164" w14:textId="77777777" w:rsidR="0035763B" w:rsidRPr="0035763B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72981BD5">
          <v:rect id="_x0000_i1030" style="width:0;height:1.5pt" o:hralign="center" o:hrstd="t" o:hr="t" fillcolor="#a0a0a0" stroked="f"/>
        </w:pict>
      </w:r>
    </w:p>
    <w:p w14:paraId="6960EDCE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5. Challenges and Mitigation</w:t>
      </w:r>
    </w:p>
    <w:p w14:paraId="468FE801" w14:textId="77777777" w:rsidR="0035763B" w:rsidRPr="0035763B" w:rsidRDefault="0035763B" w:rsidP="0081732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Competition: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Differentiate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with a superior user experience (UX), real-time features (Socket.IO), and robust analytics.</w:t>
      </w:r>
    </w:p>
    <w:p w14:paraId="19C444FC" w14:textId="77777777" w:rsidR="0035763B" w:rsidRPr="0035763B" w:rsidRDefault="0035763B" w:rsidP="0081732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User Retention: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Offer compelling free tiers with limited features to attract a broad user base, then strategically upsell premium plans based on perceived value.</w:t>
      </w:r>
    </w:p>
    <w:p w14:paraId="19972A20" w14:textId="77777777" w:rsidR="0035763B" w:rsidRPr="0035763B" w:rsidRDefault="0035763B" w:rsidP="0081732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Regulatory Compliance: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Ensure strict compliance with all relevant real estate and data privacy laws (e.g., GDPR for PostgreSQL data storage and processing) across all operational regions.</w:t>
      </w:r>
    </w:p>
    <w:p w14:paraId="5737D867" w14:textId="77777777" w:rsidR="0035763B" w:rsidRPr="0035763B" w:rsidRDefault="0035763B" w:rsidP="0081732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Scalability:</w:t>
      </w: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Continuously optimize the database (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schema.sql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seed.sql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) and server (Node.js) to efficiently handle high transaction volumes and growing user traffic.</w:t>
      </w:r>
    </w:p>
    <w:p w14:paraId="1475CBE6" w14:textId="77777777" w:rsidR="0035763B" w:rsidRPr="0035763B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5070A454">
          <v:rect id="_x0000_i1031" style="width:0;height:1.5pt" o:hralign="center" o:hrstd="t" o:hr="t" fillcolor="#a0a0a0" stroked="f"/>
        </w:pict>
      </w:r>
    </w:p>
    <w:p w14:paraId="061C004A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6. Conclusion</w:t>
      </w:r>
    </w:p>
    <w:p w14:paraId="7B43C02A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has significant opportunities to generate sustainable revenue by strategically leveraging its robust features and advanced technology. By implementing a diverse set of monetization models—including subscription plans, commission-based revenue, advertising, lead generation, and white-label solutions—</w:t>
      </w:r>
      <w:proofErr w:type="spellStart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can achieve long-term growth. The key to success lies in balancing monetization efforts with a commitment to providing an exceptional user experience, ensuring value for all user roles.</w:t>
      </w:r>
    </w:p>
    <w:p w14:paraId="71300EAE" w14:textId="77777777" w:rsidR="0035763B" w:rsidRPr="0035763B" w:rsidRDefault="0035763B" w:rsidP="00817322">
      <w:pPr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Suggested Monetization Stack and Projections</w:t>
      </w:r>
    </w:p>
    <w:p w14:paraId="5BB01A20" w14:textId="77777777" w:rsidR="0035763B" w:rsidRPr="0035763B" w:rsidRDefault="0035763B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35763B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The following table outlines a suggested phased approach to implementing these revenue models: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1615"/>
        <w:gridCol w:w="1183"/>
        <w:gridCol w:w="2148"/>
        <w:gridCol w:w="2223"/>
        <w:gridCol w:w="96"/>
      </w:tblGrid>
      <w:tr w:rsidR="00104258" w:rsidRPr="00104258" w14:paraId="0F8BCBBE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3E6F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FECA9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Target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6DC0C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Launch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48B3B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Annual Revenue Projection (NGN) (Year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1E2C39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Annual Revenue Projection (NGN) (Year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8616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1F92947D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3F206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Freemium + Agent Subscriptions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73EB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3F0DE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1 (Now)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C2248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12,000,000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BEF62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60,000,000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B6A86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69A56E8F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731FC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Featured Listings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81B1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216A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7CF9B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41699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25,000,000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3A248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06480E2B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4BF4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Lead Generation (Pay-per-lead)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1879D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5FCF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76DE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8,000,000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1075A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40,000,000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655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33C1A6A6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3F72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White-</w:t>
            </w:r>
            <w:proofErr w:type="spellStart"/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labeling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B840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Agencies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6629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16DA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10,000,000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6883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50,000,000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2FB9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44C4F60E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EB00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Ads &amp; Referrals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E176D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Vendors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55B75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6D72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7,000,000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A0DE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35,000,000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3CC4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6EE8E3AF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6288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Commission-based Escrow (Optional)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0E761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Buyers/Agents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94443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Optional Scale-up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97E2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6EE6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A576E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102B15F5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3B0C6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Premium Data &amp; Analytics (</w:t>
            </w:r>
            <w:proofErr w:type="spellStart"/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AaaS</w:t>
            </w:r>
            <w:proofErr w:type="spellEnd"/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1940B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Agents/Admins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2411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97141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3,000,000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A6C42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E8CF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439074C2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619CA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Transactional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46A7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Clients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B6091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63BC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2,000,000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DA99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10,000,000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8D501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6B0ECFCD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17D0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API Access for Third Parties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A382A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8689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B2989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1,000,000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5389A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5,000,000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91886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0453D52A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6E6E1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Document Templates / Legal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425DF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Clients/Agents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DB793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5AE5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500,000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3CA87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  <w:t>2,500,000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4D86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04258" w:rsidRPr="00104258" w14:paraId="5610085B" w14:textId="77777777" w:rsidTr="001042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256AAD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Estimated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A2E15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6E785" w14:textId="77777777" w:rsidR="00104258" w:rsidRPr="00104258" w:rsidRDefault="00104258" w:rsidP="00817322">
            <w:pPr>
              <w:spacing w:after="0" w:line="360" w:lineRule="auto"/>
              <w:rPr>
                <w:rFonts w:ascii="Bookman Old Style" w:eastAsia="Times New Roman" w:hAnsi="Bookman Old Style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B7F4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48,500,000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EED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04258">
              <w:rPr>
                <w:rFonts w:ascii="Bookman Old Style" w:eastAsia="Times New Roman" w:hAnsi="Bookman Old Style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257,500,000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43849" w14:textId="77777777" w:rsidR="00104258" w:rsidRPr="00104258" w:rsidRDefault="00104258" w:rsidP="00817322">
            <w:pPr>
              <w:spacing w:after="0" w:line="360" w:lineRule="auto"/>
              <w:jc w:val="right"/>
              <w:rPr>
                <w:rFonts w:ascii="Bookman Old Style" w:eastAsia="Times New Roman" w:hAnsi="Bookman Old Style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40EB219" w14:textId="77777777" w:rsidR="00445B31" w:rsidRPr="00F53565" w:rsidRDefault="00445B31" w:rsidP="00817322">
      <w:pPr>
        <w:spacing w:line="360" w:lineRule="auto"/>
        <w:rPr>
          <w:rFonts w:ascii="Bookman Old Style" w:hAnsi="Bookman Old Style"/>
        </w:rPr>
      </w:pPr>
    </w:p>
    <w:p w14:paraId="5D39BDA4" w14:textId="77777777" w:rsidR="00275C70" w:rsidRPr="00275C70" w:rsidRDefault="00275C70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275C70">
        <w:rPr>
          <w:rFonts w:ascii="Bookman Old Style" w:eastAsia="Times New Roman" w:hAnsi="Bookman Old Style" w:cs="Times New Roman"/>
          <w:i/>
          <w:iCs/>
          <w:kern w:val="0"/>
          <w:sz w:val="24"/>
          <w:szCs w:val="24"/>
          <w:lang w:eastAsia="en-GB"/>
          <w14:ligatures w14:val="none"/>
        </w:rPr>
        <w:t>Projections are estimates and subject to market conditions and implementation success.</w:t>
      </w:r>
    </w:p>
    <w:p w14:paraId="0B2D1778" w14:textId="77777777" w:rsidR="00275C70" w:rsidRPr="00275C70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1691FB2">
          <v:rect id="_x0000_i1032" style="width:0;height:1.5pt" o:hralign="center" o:hrstd="t" o:hr="t" fillcolor="#a0a0a0" stroked="f"/>
        </w:pict>
      </w:r>
    </w:p>
    <w:p w14:paraId="5BEA16BB" w14:textId="77777777" w:rsidR="00275C70" w:rsidRPr="00275C70" w:rsidRDefault="00275C70" w:rsidP="00817322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75C70">
        <w:rPr>
          <w:rFonts w:ascii="Bookman Old Style" w:eastAsia="Times New Roman" w:hAnsi="Bookman Old Style" w:cs="Times New Roman"/>
          <w:b/>
          <w:bCs/>
          <w:kern w:val="0"/>
          <w:sz w:val="36"/>
          <w:szCs w:val="36"/>
          <w:lang w:eastAsia="en-GB"/>
          <w14:ligatures w14:val="none"/>
        </w:rPr>
        <w:t>7. Contact Information</w:t>
      </w:r>
    </w:p>
    <w:p w14:paraId="3E76F05B" w14:textId="77777777" w:rsidR="00275C70" w:rsidRPr="00275C70" w:rsidRDefault="00275C70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For inquiries or feedback, please contact:</w:t>
      </w:r>
    </w:p>
    <w:p w14:paraId="73EFA687" w14:textId="77777777" w:rsidR="00275C70" w:rsidRPr="00275C70" w:rsidRDefault="00275C70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Matthew Tedunjaiye tedunjaiyem@gmail.com GitHub: </w:t>
      </w:r>
      <w:hyperlink r:id="rId7" w:tgtFrame="_blank" w:history="1">
        <w:r w:rsidRPr="00275C70">
          <w:rPr>
            <w:rFonts w:ascii="Bookman Old Style" w:eastAsia="Times New Roman" w:hAnsi="Bookman Old Style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https://github.com/tobyt50/Criblink/tree/main</w:t>
        </w:r>
      </w:hyperlink>
    </w:p>
    <w:p w14:paraId="4BD47038" w14:textId="77777777" w:rsidR="00275C70" w:rsidRPr="00275C70" w:rsidRDefault="00C53AA9" w:rsidP="00817322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pict w14:anchorId="28F1BF04">
          <v:rect id="_x0000_i1033" style="width:0;height:1.5pt" o:hralign="center" o:hrstd="t" o:hr="t" fillcolor="#a0a0a0" stroked="f"/>
        </w:pict>
      </w:r>
    </w:p>
    <w:p w14:paraId="2FE1F2D4" w14:textId="77777777" w:rsidR="00275C70" w:rsidRPr="00275C70" w:rsidRDefault="00275C70" w:rsidP="00817322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</w:pPr>
      <w:r w:rsidRPr="00275C70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Revenue Strategies </w:t>
      </w:r>
      <w:r w:rsidRPr="00275C70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Footer:</w:t>
      </w:r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July 11, 2025 – Prepared by Matthew O. Tedunjaiye, founder and CEO </w:t>
      </w:r>
      <w:r w:rsidRPr="00275C70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GB"/>
          <w14:ligatures w14:val="none"/>
        </w:rPr>
        <w:t>Page Number:</w:t>
      </w:r>
      <w:r w:rsidRPr="00275C70">
        <w:rPr>
          <w:rFonts w:ascii="Bookman Old Style" w:eastAsia="Times New Roman" w:hAnsi="Bookman Old Style" w:cs="Times New Roman"/>
          <w:kern w:val="0"/>
          <w:sz w:val="24"/>
          <w:szCs w:val="24"/>
          <w:lang w:eastAsia="en-GB"/>
          <w14:ligatures w14:val="none"/>
        </w:rPr>
        <w:t xml:space="preserve"> [Page Number]</w:t>
      </w:r>
    </w:p>
    <w:p w14:paraId="55C0F724" w14:textId="77777777" w:rsidR="00275C70" w:rsidRPr="00F53565" w:rsidRDefault="00275C70" w:rsidP="00817322">
      <w:pPr>
        <w:spacing w:line="360" w:lineRule="auto"/>
        <w:rPr>
          <w:rFonts w:ascii="Bookman Old Style" w:hAnsi="Bookman Old Style"/>
        </w:rPr>
      </w:pPr>
    </w:p>
    <w:sectPr w:rsidR="00275C70" w:rsidRPr="00F53565" w:rsidSect="00D2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1633FC40" id="_x0000_i1026" style="width:0;height:1.5pt" o:hralign="center" o:bullet="t" o:hrstd="t" o:hr="t" fillcolor="#a0a0a0" stroked="f"/>
    </w:pict>
  </w:numPicBullet>
  <w:abstractNum w:abstractNumId="0" w15:restartNumberingAfterBreak="0">
    <w:nsid w:val="02883D61"/>
    <w:multiLevelType w:val="multilevel"/>
    <w:tmpl w:val="DDF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354D"/>
    <w:multiLevelType w:val="multilevel"/>
    <w:tmpl w:val="F81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0C0F"/>
    <w:multiLevelType w:val="multilevel"/>
    <w:tmpl w:val="BDD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9029B"/>
    <w:multiLevelType w:val="multilevel"/>
    <w:tmpl w:val="63F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26CE"/>
    <w:multiLevelType w:val="multilevel"/>
    <w:tmpl w:val="D41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E618F"/>
    <w:multiLevelType w:val="multilevel"/>
    <w:tmpl w:val="CB02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22B0C"/>
    <w:multiLevelType w:val="multilevel"/>
    <w:tmpl w:val="647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A4A26"/>
    <w:multiLevelType w:val="multilevel"/>
    <w:tmpl w:val="CBB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37662"/>
    <w:multiLevelType w:val="multilevel"/>
    <w:tmpl w:val="D7B8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50026"/>
    <w:multiLevelType w:val="multilevel"/>
    <w:tmpl w:val="DD1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77372"/>
    <w:multiLevelType w:val="multilevel"/>
    <w:tmpl w:val="4C1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B5F"/>
    <w:multiLevelType w:val="multilevel"/>
    <w:tmpl w:val="8C7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37D50"/>
    <w:multiLevelType w:val="multilevel"/>
    <w:tmpl w:val="65F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85FC7"/>
    <w:multiLevelType w:val="multilevel"/>
    <w:tmpl w:val="23E2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E3BCB"/>
    <w:multiLevelType w:val="multilevel"/>
    <w:tmpl w:val="330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D0581"/>
    <w:multiLevelType w:val="multilevel"/>
    <w:tmpl w:val="9FA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070373">
    <w:abstractNumId w:val="5"/>
  </w:num>
  <w:num w:numId="2" w16cid:durableId="1362127436">
    <w:abstractNumId w:val="8"/>
  </w:num>
  <w:num w:numId="3" w16cid:durableId="1726176482">
    <w:abstractNumId w:val="7"/>
  </w:num>
  <w:num w:numId="4" w16cid:durableId="397364485">
    <w:abstractNumId w:val="2"/>
  </w:num>
  <w:num w:numId="5" w16cid:durableId="1014499107">
    <w:abstractNumId w:val="4"/>
  </w:num>
  <w:num w:numId="6" w16cid:durableId="471990925">
    <w:abstractNumId w:val="1"/>
  </w:num>
  <w:num w:numId="7" w16cid:durableId="1743679189">
    <w:abstractNumId w:val="0"/>
  </w:num>
  <w:num w:numId="8" w16cid:durableId="1325552644">
    <w:abstractNumId w:val="11"/>
  </w:num>
  <w:num w:numId="9" w16cid:durableId="654844519">
    <w:abstractNumId w:val="15"/>
  </w:num>
  <w:num w:numId="10" w16cid:durableId="615018878">
    <w:abstractNumId w:val="3"/>
  </w:num>
  <w:num w:numId="11" w16cid:durableId="1009794443">
    <w:abstractNumId w:val="9"/>
  </w:num>
  <w:num w:numId="12" w16cid:durableId="1259603556">
    <w:abstractNumId w:val="12"/>
  </w:num>
  <w:num w:numId="13" w16cid:durableId="770441796">
    <w:abstractNumId w:val="14"/>
  </w:num>
  <w:num w:numId="14" w16cid:durableId="1825776029">
    <w:abstractNumId w:val="6"/>
  </w:num>
  <w:num w:numId="15" w16cid:durableId="2013754240">
    <w:abstractNumId w:val="10"/>
  </w:num>
  <w:num w:numId="16" w16cid:durableId="2043940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3E"/>
    <w:rsid w:val="00051AA8"/>
    <w:rsid w:val="00104258"/>
    <w:rsid w:val="00105C87"/>
    <w:rsid w:val="001630D5"/>
    <w:rsid w:val="00275C70"/>
    <w:rsid w:val="002A7AB2"/>
    <w:rsid w:val="0035763B"/>
    <w:rsid w:val="00384205"/>
    <w:rsid w:val="00430CAF"/>
    <w:rsid w:val="00445B31"/>
    <w:rsid w:val="0050724F"/>
    <w:rsid w:val="005D1584"/>
    <w:rsid w:val="005F00D8"/>
    <w:rsid w:val="005F2618"/>
    <w:rsid w:val="00625270"/>
    <w:rsid w:val="00696722"/>
    <w:rsid w:val="006E5B38"/>
    <w:rsid w:val="00707788"/>
    <w:rsid w:val="0073086D"/>
    <w:rsid w:val="00744ECE"/>
    <w:rsid w:val="007C0E1E"/>
    <w:rsid w:val="007C6299"/>
    <w:rsid w:val="00817322"/>
    <w:rsid w:val="008426AB"/>
    <w:rsid w:val="009D44CC"/>
    <w:rsid w:val="00A0742C"/>
    <w:rsid w:val="00AA06A7"/>
    <w:rsid w:val="00B74349"/>
    <w:rsid w:val="00BA025F"/>
    <w:rsid w:val="00BE620F"/>
    <w:rsid w:val="00C019D8"/>
    <w:rsid w:val="00CC61F6"/>
    <w:rsid w:val="00CC7CAE"/>
    <w:rsid w:val="00D013B2"/>
    <w:rsid w:val="00D1416C"/>
    <w:rsid w:val="00D252C9"/>
    <w:rsid w:val="00D34C92"/>
    <w:rsid w:val="00D451D1"/>
    <w:rsid w:val="00DA3F1F"/>
    <w:rsid w:val="00DC4291"/>
    <w:rsid w:val="00E27DFC"/>
    <w:rsid w:val="00EB169B"/>
    <w:rsid w:val="00EF265A"/>
    <w:rsid w:val="00F366CE"/>
    <w:rsid w:val="00F53565"/>
    <w:rsid w:val="00FB7F4B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B319703"/>
  <w15:chartTrackingRefBased/>
  <w15:docId w15:val="{3385B4D6-2177-419A-B365-7A99569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byt50/Criblink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ai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Matthew Ted</cp:lastModifiedBy>
  <cp:revision>2</cp:revision>
  <dcterms:created xsi:type="dcterms:W3CDTF">2025-07-12T13:48:00Z</dcterms:created>
  <dcterms:modified xsi:type="dcterms:W3CDTF">2025-07-12T13:48:00Z</dcterms:modified>
</cp:coreProperties>
</file>