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CRIBLINK STRATEGIC PARTNERSHIP AGREEMENT (SUMMARY TERMS)</w:t>
      </w:r>
    </w:p>
    <w:p>
      <w:r>
        <w:t>Parties:</w:t>
      </w:r>
    </w:p>
    <w:p>
      <w:r>
        <w:t>- Matthew Tedunjaiye (“Founder”)</w:t>
      </w:r>
    </w:p>
    <w:p>
      <w:r>
        <w:t>- [Investor Name] (“Strategic Partner”)</w:t>
      </w:r>
    </w:p>
    <w:p>
      <w:pPr>
        <w:pStyle w:val="Heading2"/>
      </w:pPr>
      <w:r>
        <w:t>1. Roles and Commitments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Party</w:t>
            </w:r>
          </w:p>
        </w:tc>
        <w:tc>
          <w:tcPr>
            <w:tcW w:type="dxa" w:w="2880"/>
          </w:tcPr>
          <w:p>
            <w:r>
              <w:t>Responsibilities</w:t>
            </w:r>
          </w:p>
        </w:tc>
      </w:tr>
      <w:tr>
        <w:tc>
          <w:tcPr>
            <w:tcW w:type="dxa" w:w="2880"/>
          </w:tcPr>
          <w:p>
            <w:r>
              <w:t>Founder &amp; CEO</w:t>
            </w:r>
          </w:p>
        </w:tc>
        <w:tc>
          <w:tcPr>
            <w:tcW w:type="dxa" w:w="2880"/>
          </w:tcPr>
          <w:p>
            <w:r>
              <w:t>Matthew Tedunjaiye</w:t>
            </w:r>
          </w:p>
        </w:tc>
        <w:tc>
          <w:tcPr>
            <w:tcW w:type="dxa" w:w="2880"/>
          </w:tcPr>
          <w:p>
            <w:r>
              <w:t>Product development, tech, operations, execution</w:t>
            </w:r>
          </w:p>
        </w:tc>
      </w:tr>
      <w:tr>
        <w:tc>
          <w:tcPr>
            <w:tcW w:type="dxa" w:w="2880"/>
          </w:tcPr>
          <w:p>
            <w:r>
              <w:t>Strategic Partner</w:t>
            </w:r>
          </w:p>
        </w:tc>
        <w:tc>
          <w:tcPr>
            <w:tcW w:type="dxa" w:w="2880"/>
          </w:tcPr>
          <w:p>
            <w:r>
              <w:t>[Investor Name]</w:t>
            </w:r>
          </w:p>
        </w:tc>
        <w:tc>
          <w:tcPr>
            <w:tcW w:type="dxa" w:w="2880"/>
          </w:tcPr>
          <w:p>
            <w:r>
              <w:t>Initial funding, growth strategy, intros, users</w:t>
            </w:r>
          </w:p>
        </w:tc>
      </w:tr>
    </w:tbl>
    <w:p>
      <w:pPr>
        <w:pStyle w:val="Heading2"/>
      </w:pPr>
      <w:r>
        <w:t>2. Equity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Equity Allocation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Vesting Schedule</w:t>
            </w:r>
          </w:p>
        </w:tc>
      </w:tr>
      <w:tr>
        <w:tc>
          <w:tcPr>
            <w:tcW w:type="dxa" w:w="2880"/>
          </w:tcPr>
          <w:p>
            <w:r>
              <w:t>Base Equity (vesting)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4-year vesting, 1-year cliff</w:t>
            </w:r>
          </w:p>
        </w:tc>
      </w:tr>
      <w:tr>
        <w:tc>
          <w:tcPr>
            <w:tcW w:type="dxa" w:w="2880"/>
          </w:tcPr>
          <w:p>
            <w:r>
              <w:t>Performance Bonus</w:t>
            </w:r>
          </w:p>
        </w:tc>
        <w:tc>
          <w:tcPr>
            <w:tcW w:type="dxa" w:w="2880"/>
          </w:tcPr>
          <w:p>
            <w:r>
              <w:t>Up to +10%</w:t>
            </w:r>
          </w:p>
        </w:tc>
        <w:tc>
          <w:tcPr>
            <w:tcW w:type="dxa" w:w="2880"/>
          </w:tcPr>
          <w:p>
            <w:r>
              <w:t>Milestones-based (see below)</w:t>
            </w:r>
          </w:p>
        </w:tc>
      </w:tr>
    </w:tbl>
    <w:p>
      <w:r>
        <w:t>Vesting means: If the partner leaves early or underperforms, unvested shares return to the company.</w:t>
      </w:r>
    </w:p>
    <w:p>
      <w:pPr>
        <w:pStyle w:val="Heading2"/>
      </w:pPr>
      <w:r>
        <w:t>3. Performance Milestone Bonus (Optional 10%)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Milestone</w:t>
            </w:r>
          </w:p>
        </w:tc>
        <w:tc>
          <w:tcPr>
            <w:tcW w:type="dxa" w:w="4320"/>
          </w:tcPr>
          <w:p>
            <w:r>
              <w:t>Equity Bonus (%)</w:t>
            </w:r>
          </w:p>
        </w:tc>
      </w:tr>
      <w:tr>
        <w:tc>
          <w:tcPr>
            <w:tcW w:type="dxa" w:w="4320"/>
          </w:tcPr>
          <w:p>
            <w:r>
              <w:t>Deliver 5,000 active users in first 6 months</w:t>
            </w:r>
          </w:p>
        </w:tc>
        <w:tc>
          <w:tcPr>
            <w:tcW w:type="dxa" w:w="4320"/>
          </w:tcPr>
          <w:p>
            <w:r>
              <w:t>+2.5%</w:t>
            </w:r>
          </w:p>
        </w:tc>
      </w:tr>
      <w:tr>
        <w:tc>
          <w:tcPr>
            <w:tcW w:type="dxa" w:w="4320"/>
          </w:tcPr>
          <w:p>
            <w:r>
              <w:t>Set up at least 3 verified investor meetings</w:t>
            </w:r>
          </w:p>
        </w:tc>
        <w:tc>
          <w:tcPr>
            <w:tcW w:type="dxa" w:w="4320"/>
          </w:tcPr>
          <w:p>
            <w:r>
              <w:t>+2.5%</w:t>
            </w:r>
          </w:p>
        </w:tc>
      </w:tr>
      <w:tr>
        <w:tc>
          <w:tcPr>
            <w:tcW w:type="dxa" w:w="4320"/>
          </w:tcPr>
          <w:p>
            <w:r>
              <w:t>Co-lead new product vertical (e.g. rentals, AI)</w:t>
            </w:r>
          </w:p>
        </w:tc>
        <w:tc>
          <w:tcPr>
            <w:tcW w:type="dxa" w:w="4320"/>
          </w:tcPr>
          <w:p>
            <w:r>
              <w:t>+2.5%</w:t>
            </w:r>
          </w:p>
        </w:tc>
      </w:tr>
      <w:tr>
        <w:tc>
          <w:tcPr>
            <w:tcW w:type="dxa" w:w="4320"/>
          </w:tcPr>
          <w:p>
            <w:r>
              <w:t>Facilitate first institutional investment round</w:t>
            </w:r>
          </w:p>
        </w:tc>
        <w:tc>
          <w:tcPr>
            <w:tcW w:type="dxa" w:w="4320"/>
          </w:tcPr>
          <w:p>
            <w:r>
              <w:t>+2.5%</w:t>
            </w:r>
          </w:p>
        </w:tc>
      </w:tr>
    </w:tbl>
    <w:p>
      <w:r>
        <w:t>Each milestone is independently awarded at founder’s discretion.</w:t>
      </w:r>
    </w:p>
    <w:p>
      <w:pPr>
        <w:pStyle w:val="Heading2"/>
      </w:pPr>
      <w:r>
        <w:t>4. Voting &amp; Control</w:t>
      </w:r>
    </w:p>
    <w:p>
      <w:r>
        <w:t>- Founder retains CEO title and final say in all product and technical matters.</w:t>
      </w:r>
    </w:p>
    <w:p>
      <w:r>
        <w:t>- Board seats: 1 for Founder, 1 for Strategic Partner (non-executive), 1 reserved for future investor.</w:t>
      </w:r>
    </w:p>
    <w:p>
      <w:r>
        <w:t>- Major decisions require unanimous board agreement (e.g., acquisition, share issuance).</w:t>
      </w:r>
    </w:p>
    <w:p>
      <w:pPr>
        <w:pStyle w:val="Heading2"/>
      </w:pPr>
      <w:r>
        <w:t>5. Legal Notes</w:t>
      </w:r>
    </w:p>
    <w:p>
      <w:r>
        <w:t>- All equity subject to a vesting agreement and shareholder contract.</w:t>
      </w:r>
    </w:p>
    <w:p>
      <w:r>
        <w:t>- Strategic Partner is not a co-founder unless explicitly stated.</w:t>
      </w:r>
    </w:p>
    <w:p>
      <w:r>
        <w:t>- Confidentiality, IP protection, and non-compete clauses apply.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