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568" w:top="720" w:left="720" w:right="720" w:header="720" w:footer="720"/>
          <w:pgNumType w:start="1"/>
        </w:sectPr>
      </w:pPr>
      <w:bookmarkStart w:colFirst="0" w:colLast="0" w:name="_psaqsybmr7jo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76" w:lineRule="auto"/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Enhancing the Win: Prompting Charitable Donations from Winning Customers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Vision</w:t>
      </w:r>
      <w:r w:rsidDel="00000000" w:rsidR="00000000" w:rsidRPr="00000000">
        <w:rPr>
          <w:rtl w:val="0"/>
        </w:rPr>
        <w:t xml:space="preserve">: Build charitable donations into gambling transactions.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Mission: </w:t>
      </w:r>
      <w:r w:rsidDel="00000000" w:rsidR="00000000" w:rsidRPr="00000000">
        <w:rPr>
          <w:rtl w:val="0"/>
        </w:rPr>
        <w:t xml:space="preserve">Develop the technology and relationships to facilitate charitable giving for gambling customers.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 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‘Microdonations’ increasingly common form of giving in commercial sector (e.g. rounding up)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Not present in the gambling industry except in venues (e.g. donations tin)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Some charities will not take funding from gambling businesses (but will take from lottery)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Gambling industry – publicly perceived as adding little social value, not the case for the National Lottery – seen as valuable in part due to good works done with profit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Donations build positive sentiments in customers, and yield better experiences (known as ‘negative state relief’ in charity speak)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Potential for customer to build a more positive relationship with gambling (less focus on losses will lead to less loss chasing)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Benefits for charities – much funding to be unlocked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Conversations to date held with major gambling operators, third sector trade bodies (NCVO/AVECO) and donations academics. 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 xml:space="preserve">Proposal: </w:t>
      </w:r>
      <w:r w:rsidDel="00000000" w:rsidR="00000000" w:rsidRPr="00000000">
        <w:rPr>
          <w:rtl w:val="0"/>
        </w:rPr>
        <w:t xml:space="preserve">Online gambling operators offer the option for customers to donate a proportion of their winnings to a chosen charity when they win.  As a starting point this could be as little as 1, 2 or 5% of winnings.</w:t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next?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Pitch this to the UK gambling trade body, then develop MVP and pilot with a gambling operator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with Totally</w:t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General discussion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1080" w:hanging="360"/>
      </w:pPr>
      <w:r w:rsidDel="00000000" w:rsidR="00000000" w:rsidRPr="00000000">
        <w:rPr>
          <w:rtl w:val="0"/>
        </w:rPr>
        <w:t xml:space="preserve">Viability, initial response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1080" w:hanging="360"/>
      </w:pPr>
      <w:r w:rsidDel="00000000" w:rsidR="00000000" w:rsidRPr="00000000">
        <w:rPr>
          <w:rtl w:val="0"/>
        </w:rPr>
        <w:t xml:space="preserve">Competitors / collaborators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1080" w:hanging="360"/>
      </w:pPr>
      <w:r w:rsidDel="00000000" w:rsidR="00000000" w:rsidRPr="00000000">
        <w:rPr>
          <w:rtl w:val="0"/>
        </w:rPr>
        <w:t xml:space="preserve">Complexity in this kind of tech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Depending on the outcome of this conversation I would ultimately need the following:</w:t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Flow Diagram to articulate the customer journey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 diagram mapping out the journey a user would take when interacting with the donation feature including entry points, decision points, feedback.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line="240" w:lineRule="auto"/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Wireframes / UI Mockups to show the key decision points visually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  <w:sectPr>
          <w:footerReference r:id="rId6" w:type="default"/>
          <w:type w:val="nextPage"/>
          <w:pgSz w:h="16838" w:w="11906" w:orient="portrait"/>
          <w:pgMar w:bottom="568" w:top="720" w:left="720" w:right="720" w:header="708" w:footer="708"/>
          <w:pgNumType w:start="1"/>
        </w:sectPr>
      </w:pPr>
      <w:r w:rsidDel="00000000" w:rsidR="00000000" w:rsidRPr="00000000">
        <w:rPr>
          <w:rtl w:val="0"/>
        </w:rPr>
        <w:t xml:space="preserve">Visual representations of the key screens’ users will interact with. e.g Win Notification with Donation Prompt</w:t>
      </w:r>
    </w:p>
    <w:p w:rsidR="00000000" w:rsidDel="00000000" w:rsidP="00000000" w:rsidRDefault="00000000" w:rsidRPr="00000000" w14:paraId="0000002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footerReference r:id="rId7" w:type="default"/>
          <w:type w:val="nextPage"/>
          <w:pgSz w:h="16838" w:w="11906" w:orient="portrait"/>
          <w:pgMar w:bottom="568" w:top="720" w:left="720" w:right="720" w:header="720" w:footer="720"/>
          <w:pgNumType w:start="1"/>
        </w:sectPr>
      </w:pPr>
      <w:bookmarkStart w:colFirst="0" w:colLast="0" w:name="_l0b0ej2ekrfy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mykro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mykro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micro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 kro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mykro payments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mykro OATH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My Growth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mykro CROWD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6838" w:w="11906" w:orient="portrait"/>
      <w:pgMar w:bottom="568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tabs>
        <w:tab w:val="center" w:leader="none" w:pos="4513"/>
        <w:tab w:val="right" w:leader="none" w:pos="9026"/>
      </w:tabs>
      <w:spacing w:after="0" w:line="240" w:lineRule="auto"/>
      <w:jc w:val="right"/>
      <w:rPr/>
    </w:pPr>
    <w:r w:rsidDel="00000000" w:rsidR="00000000" w:rsidRPr="00000000">
      <w:rPr>
        <w:rtl w:val="0"/>
      </w:rPr>
      <w:t xml:space="preserve">                   Confidential MCK Advisory 2024</w:t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