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AF79" w14:textId="416AE0C6" w:rsidR="00B205BE" w:rsidRPr="00CE0C4C" w:rsidRDefault="00CE0C4C" w:rsidP="00B205BE">
      <w:pPr>
        <w:pStyle w:val="GamCareHeadings"/>
        <w:rPr>
          <w:sz w:val="32"/>
          <w:szCs w:val="24"/>
        </w:rPr>
      </w:pPr>
      <w:r>
        <w:rPr>
          <w:sz w:val="32"/>
          <w:szCs w:val="24"/>
        </w:rPr>
        <w:t xml:space="preserve">Prompting </w:t>
      </w:r>
      <w:r w:rsidR="00942F33" w:rsidRPr="00CE0C4C">
        <w:rPr>
          <w:sz w:val="32"/>
          <w:szCs w:val="24"/>
        </w:rPr>
        <w:t>Charitable Donations from Winning Customers</w:t>
      </w:r>
    </w:p>
    <w:p w14:paraId="46B9BBC7" w14:textId="77777777" w:rsidR="00942F33" w:rsidRDefault="00942F33" w:rsidP="00942F33"/>
    <w:p w14:paraId="5E65A672" w14:textId="77777777" w:rsidR="00942F33" w:rsidRPr="00942F33" w:rsidRDefault="00942F33" w:rsidP="00942F33">
      <w:pPr>
        <w:pStyle w:val="Sub-heading"/>
      </w:pPr>
      <w:r w:rsidRPr="00942F33">
        <w:t>Overview</w:t>
      </w:r>
    </w:p>
    <w:p w14:paraId="7CAF457E" w14:textId="1CE08595" w:rsidR="00942F33" w:rsidRDefault="00942F33" w:rsidP="00942F33">
      <w:pPr>
        <w:jc w:val="both"/>
      </w:pPr>
      <w:r>
        <w:t>Customers of online gambling operators are given the opportunity to donate</w:t>
      </w:r>
      <w:r w:rsidR="00EE4ED0">
        <w:t xml:space="preserve"> a proportion of their winnings</w:t>
      </w:r>
      <w:r>
        <w:t xml:space="preserve"> to charit</w:t>
      </w:r>
      <w:r w:rsidR="00EE4ED0">
        <w:t>y</w:t>
      </w:r>
      <w:r>
        <w:t xml:space="preserve"> when they win.</w:t>
      </w:r>
    </w:p>
    <w:p w14:paraId="766521E1" w14:textId="77777777" w:rsidR="00942F33" w:rsidRDefault="00942F33" w:rsidP="00942F33">
      <w:pPr>
        <w:pStyle w:val="Sub-heading"/>
        <w:jc w:val="both"/>
      </w:pPr>
      <w:r>
        <w:t>Background</w:t>
      </w:r>
    </w:p>
    <w:p w14:paraId="20D1AC40" w14:textId="77777777" w:rsidR="00942F33" w:rsidRPr="00942F33" w:rsidRDefault="00942F33" w:rsidP="00942F33">
      <w:pPr>
        <w:jc w:val="both"/>
        <w:rPr>
          <w:b/>
          <w:bCs/>
        </w:rPr>
      </w:pPr>
      <w:r w:rsidRPr="00942F33">
        <w:rPr>
          <w:b/>
          <w:bCs/>
        </w:rPr>
        <w:t>Trust in the gambling industry</w:t>
      </w:r>
    </w:p>
    <w:p w14:paraId="26C9E24D" w14:textId="7B4AC016" w:rsidR="00942F33" w:rsidRDefault="00942F33" w:rsidP="00942F33">
      <w:pPr>
        <w:jc w:val="both"/>
      </w:pPr>
      <w:r>
        <w:t>Trust in the gambling industry has dropped by 15% over the last 10 years to 33% (</w:t>
      </w:r>
      <w:r w:rsidR="00EE4ED0">
        <w:t xml:space="preserve">Gambling </w:t>
      </w:r>
      <w:r>
        <w:t>Commission).  Gambling companies suffer from a poor image in terms of the social value that their activities produce, with only 15% of the public believing that gambling is ‘good for society’.  In contrast to this, The National Lottery is perceived positively by the public</w:t>
      </w:r>
      <w:r w:rsidR="00341D3E">
        <w:t xml:space="preserve"> with only 17% of the public perceiving it negatively (Yougov)</w:t>
      </w:r>
      <w:r>
        <w:t xml:space="preserve">. This heightened level of trust may in part be due to the good causes its profits are donated to. </w:t>
      </w:r>
    </w:p>
    <w:p w14:paraId="29FB6FA7" w14:textId="77777777" w:rsidR="00942F33" w:rsidRPr="00942F33" w:rsidRDefault="00942F33" w:rsidP="00942F33">
      <w:pPr>
        <w:jc w:val="both"/>
        <w:rPr>
          <w:b/>
          <w:bCs/>
        </w:rPr>
      </w:pPr>
      <w:r w:rsidRPr="00942F33">
        <w:rPr>
          <w:b/>
          <w:bCs/>
        </w:rPr>
        <w:t>Gambling Industry - charity partnerships</w:t>
      </w:r>
    </w:p>
    <w:p w14:paraId="2DF71EAE" w14:textId="7E289420" w:rsidR="00942F33" w:rsidRDefault="00942F33" w:rsidP="00942F33">
      <w:pPr>
        <w:jc w:val="both"/>
      </w:pPr>
      <w:r>
        <w:t xml:space="preserve">One way in which companies gain public trust and drive a higher level of perceived social value is to undertake charitable activity, including corporate partnerships with charities.  Unlike other corporates, Gambling companies </w:t>
      </w:r>
      <w:r w:rsidR="00F159AB">
        <w:t>may struggle to form</w:t>
      </w:r>
      <w:r>
        <w:t xml:space="preserve"> corporate partnerships with charities beyond those that deal with gambling addiction and treatment</w:t>
      </w:r>
      <w:r w:rsidR="00D818F2">
        <w:t xml:space="preserve">. </w:t>
      </w:r>
    </w:p>
    <w:p w14:paraId="7C60B7D9" w14:textId="02251DF1" w:rsidR="00942F33" w:rsidRDefault="00942F33" w:rsidP="00942F33">
      <w:pPr>
        <w:jc w:val="both"/>
      </w:pPr>
      <w:r>
        <w:t>One reason for this may be that charities do not look to gambling companies to partner with due to distrust of the gambling sector, or a sense that funds from such a source would be unethical</w:t>
      </w:r>
      <w:r w:rsidR="00D818F2">
        <w:t>.</w:t>
      </w:r>
    </w:p>
    <w:p w14:paraId="2579FA57" w14:textId="77777777" w:rsidR="00942F33" w:rsidRPr="00942F33" w:rsidRDefault="00942F33" w:rsidP="00942F33">
      <w:pPr>
        <w:jc w:val="both"/>
        <w:rPr>
          <w:b/>
          <w:bCs/>
        </w:rPr>
      </w:pPr>
      <w:r w:rsidRPr="00942F33">
        <w:rPr>
          <w:b/>
          <w:bCs/>
        </w:rPr>
        <w:t>Enhancing the ‘win’</w:t>
      </w:r>
    </w:p>
    <w:p w14:paraId="5385B4D8" w14:textId="666F44E4" w:rsidR="00942F33" w:rsidRDefault="00942F33" w:rsidP="00942F33">
      <w:pPr>
        <w:jc w:val="both"/>
      </w:pPr>
      <w:r>
        <w:t xml:space="preserve">People gamble for entertainment, excitement and the opportunity to win money. Whilst this final driver may be misguided on a long-term basis, winning does also happen. A driver for winning money is the opportunity to provide more for others.   </w:t>
      </w:r>
      <w:r w:rsidR="00917849">
        <w:t xml:space="preserve">For some years, </w:t>
      </w:r>
      <w:r>
        <w:t>The National Lottery</w:t>
      </w:r>
      <w:r w:rsidR="00917849">
        <w:t xml:space="preserve"> successfully ran</w:t>
      </w:r>
      <w:r>
        <w:t xml:space="preserve"> an advertising campaign with the tagline ‘who wins if you win’, underlining the motivation to gamble as being one of winning money in order to give it to others. </w:t>
      </w:r>
    </w:p>
    <w:p w14:paraId="489FDE42" w14:textId="77777777" w:rsidR="00942F33" w:rsidRPr="00942F33" w:rsidRDefault="00942F33" w:rsidP="00942F33">
      <w:pPr>
        <w:jc w:val="both"/>
        <w:rPr>
          <w:b/>
          <w:bCs/>
        </w:rPr>
      </w:pPr>
      <w:r w:rsidRPr="00942F33">
        <w:rPr>
          <w:b/>
          <w:bCs/>
        </w:rPr>
        <w:t>Donating</w:t>
      </w:r>
    </w:p>
    <w:p w14:paraId="381E5535" w14:textId="07626599" w:rsidR="00942F33" w:rsidRDefault="00942F33" w:rsidP="00942F33">
      <w:pPr>
        <w:jc w:val="both"/>
      </w:pPr>
      <w:r>
        <w:t xml:space="preserve">A well-known by-product of giving money to good causes is the positive feeling that comes along with doing so. In a survey by Charities Aid Foundation 42% of people explain that their primary reason for donating money to good causes is because it makes them feel good (CAF). </w:t>
      </w:r>
      <w:r w:rsidR="00891C33">
        <w:t xml:space="preserve">The feeling broadly known as </w:t>
      </w:r>
      <w:r w:rsidR="00C21997">
        <w:t>negative state relief also comes into play here – it might be described as ‘assuagement of guilt’ through donation.</w:t>
      </w:r>
    </w:p>
    <w:p w14:paraId="7EB793D0" w14:textId="77777777" w:rsidR="00942F33" w:rsidRPr="00942F33" w:rsidRDefault="00942F33" w:rsidP="00942F33">
      <w:pPr>
        <w:jc w:val="both"/>
        <w:rPr>
          <w:b/>
          <w:bCs/>
        </w:rPr>
      </w:pPr>
      <w:r w:rsidRPr="00942F33">
        <w:rPr>
          <w:b/>
          <w:bCs/>
        </w:rPr>
        <w:t>Responsible Gambling &amp; Positive Play</w:t>
      </w:r>
    </w:p>
    <w:p w14:paraId="63AE904A" w14:textId="51EB026E" w:rsidR="00942F33" w:rsidRDefault="00942F33" w:rsidP="00942F33">
      <w:pPr>
        <w:jc w:val="both"/>
      </w:pPr>
      <w:r>
        <w:t xml:space="preserve">There is a recent focus on encouraging ‘positive play’ for customers – i.e. focusing on the benefits of </w:t>
      </w:r>
      <w:r w:rsidR="00ED7CDD">
        <w:t xml:space="preserve">a healthy relationship with </w:t>
      </w:r>
      <w:r>
        <w:t xml:space="preserve">gambling. Donating to charity as part of the experience may encourage more responsible activity and positive association with gambling.  Winnings </w:t>
      </w:r>
      <w:r w:rsidR="00EE4ED0">
        <w:t>may</w:t>
      </w:r>
      <w:r>
        <w:t xml:space="preserve"> no longer be seen just as money for </w:t>
      </w:r>
      <w:r w:rsidR="00EE4ED0">
        <w:t>further</w:t>
      </w:r>
      <w:r>
        <w:t xml:space="preserve"> gambling – but money with which I can do other, </w:t>
      </w:r>
      <w:r w:rsidR="00EE4ED0">
        <w:t>more ‘</w:t>
      </w:r>
      <w:r>
        <w:t>positive</w:t>
      </w:r>
      <w:r w:rsidR="00EE4ED0">
        <w:t>’</w:t>
      </w:r>
      <w:r>
        <w:t xml:space="preserve"> things.</w:t>
      </w:r>
    </w:p>
    <w:p w14:paraId="094F21A0" w14:textId="501F818F" w:rsidR="00942F33" w:rsidRDefault="00942F33" w:rsidP="00942F33">
      <w:pPr>
        <w:jc w:val="both"/>
      </w:pPr>
      <w:r w:rsidRPr="00942F33">
        <w:rPr>
          <w:b/>
          <w:bCs/>
        </w:rPr>
        <w:t>Potential Funds</w:t>
      </w:r>
    </w:p>
    <w:p w14:paraId="196E961E" w14:textId="7B589015" w:rsidR="00942F33" w:rsidRDefault="00EE4ED0" w:rsidP="00942F33">
      <w:r>
        <w:t>U</w:t>
      </w:r>
      <w:r w:rsidR="00942F33">
        <w:t>nknown but likely to be significantly more than is currently being donated by customers</w:t>
      </w:r>
      <w:r>
        <w:t xml:space="preserve"> from their gambling funds.</w:t>
      </w:r>
    </w:p>
    <w:p w14:paraId="158FBF22" w14:textId="77777777" w:rsidR="00942F33" w:rsidRDefault="00942F33">
      <w:pPr>
        <w:rPr>
          <w:b/>
          <w:color w:val="0070C0"/>
          <w:sz w:val="24"/>
        </w:rPr>
      </w:pPr>
      <w:r>
        <w:br w:type="page"/>
      </w:r>
    </w:p>
    <w:p w14:paraId="170CD349" w14:textId="177F9BFC" w:rsidR="00942F33" w:rsidRPr="00942F33" w:rsidRDefault="00942F33" w:rsidP="00942F33">
      <w:pPr>
        <w:pStyle w:val="Sub-heading"/>
      </w:pPr>
      <w:r w:rsidRPr="00942F33">
        <w:lastRenderedPageBreak/>
        <w:t>Proposal</w:t>
      </w:r>
    </w:p>
    <w:p w14:paraId="62125E1A" w14:textId="574DD7D3" w:rsidR="00942F33" w:rsidRDefault="00942F33" w:rsidP="00942F33">
      <w:pPr>
        <w:jc w:val="both"/>
      </w:pPr>
      <w:r>
        <w:t>Online gambling operators offer the option for customers to donate a proportion of their winnings to a chosen charity when they win.  As a starting point</w:t>
      </w:r>
      <w:r w:rsidR="00EE4ED0">
        <w:t xml:space="preserve"> this could be as little as</w:t>
      </w:r>
      <w:r>
        <w:t xml:space="preserve"> 1, 2 or 5% of winnings.</w:t>
      </w:r>
    </w:p>
    <w:p w14:paraId="75B0E954" w14:textId="77777777" w:rsidR="00942F33" w:rsidRDefault="00942F33" w:rsidP="00942F33">
      <w:pPr>
        <w:jc w:val="both"/>
      </w:pPr>
    </w:p>
    <w:p w14:paraId="1EF42C36" w14:textId="77777777" w:rsidR="00942F33" w:rsidRPr="00942F33" w:rsidRDefault="00942F33" w:rsidP="00942F33">
      <w:pPr>
        <w:jc w:val="both"/>
        <w:rPr>
          <w:b/>
          <w:bCs/>
        </w:rPr>
      </w:pPr>
      <w:r w:rsidRPr="00942F33">
        <w:rPr>
          <w:b/>
          <w:bCs/>
        </w:rPr>
        <w:t>Benefits</w:t>
      </w:r>
    </w:p>
    <w:p w14:paraId="6F06A8F9" w14:textId="77777777" w:rsidR="00942F33" w:rsidRDefault="00942F33" w:rsidP="00942F33">
      <w:pPr>
        <w:jc w:val="both"/>
      </w:pPr>
      <w:r>
        <w:t>To the gambling sector</w:t>
      </w:r>
    </w:p>
    <w:p w14:paraId="6D8D4C38" w14:textId="6CFA1628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>Improved public perception and trust</w:t>
      </w:r>
    </w:p>
    <w:p w14:paraId="60B1F29C" w14:textId="6AD13B31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 xml:space="preserve">Enhanced relationship between the gambling sector and </w:t>
      </w:r>
      <w:r w:rsidR="00EE4ED0">
        <w:t xml:space="preserve">charitable </w:t>
      </w:r>
      <w:r>
        <w:t>works</w:t>
      </w:r>
    </w:p>
    <w:p w14:paraId="25B524AA" w14:textId="77777777" w:rsidR="00942F33" w:rsidRDefault="00942F33" w:rsidP="00942F33">
      <w:pPr>
        <w:jc w:val="both"/>
      </w:pPr>
      <w:r>
        <w:t>To the operator</w:t>
      </w:r>
    </w:p>
    <w:p w14:paraId="314C4701" w14:textId="47E47787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 xml:space="preserve">No cost (beyond possible reinvestment of </w:t>
      </w:r>
      <w:r w:rsidR="00341D3E">
        <w:t xml:space="preserve">customer </w:t>
      </w:r>
      <w:r>
        <w:t>funds</w:t>
      </w:r>
      <w:r w:rsidR="00341D3E">
        <w:t xml:space="preserve"> into gambling</w:t>
      </w:r>
      <w:r>
        <w:t>)</w:t>
      </w:r>
    </w:p>
    <w:p w14:paraId="564CC282" w14:textId="39CD3CE6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>Improved public perception</w:t>
      </w:r>
    </w:p>
    <w:p w14:paraId="59CEEA90" w14:textId="51359375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>Improved relationship with the charity sector</w:t>
      </w:r>
    </w:p>
    <w:p w14:paraId="72098162" w14:textId="015F16E7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>Improved customer experience</w:t>
      </w:r>
    </w:p>
    <w:p w14:paraId="71B57C18" w14:textId="77777777" w:rsidR="00942F33" w:rsidRDefault="00942F33" w:rsidP="00942F33">
      <w:pPr>
        <w:jc w:val="both"/>
      </w:pPr>
      <w:r>
        <w:t>To the charity sector</w:t>
      </w:r>
    </w:p>
    <w:p w14:paraId="5A668959" w14:textId="0F66CA65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>Income</w:t>
      </w:r>
    </w:p>
    <w:p w14:paraId="756F44D4" w14:textId="6EBB8E59" w:rsidR="00341D3E" w:rsidRDefault="00341D3E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 xml:space="preserve">Overcoming ethical issues with gambling operator donations, </w:t>
      </w:r>
      <w:r w:rsidR="000D4455">
        <w:t>incongruous with receiving lottery funds and running their own lotteries</w:t>
      </w:r>
    </w:p>
    <w:p w14:paraId="2AAFF313" w14:textId="77777777" w:rsidR="00942F33" w:rsidRDefault="00942F33" w:rsidP="00942F33">
      <w:pPr>
        <w:jc w:val="both"/>
      </w:pPr>
      <w:r>
        <w:t>To the customer</w:t>
      </w:r>
    </w:p>
    <w:p w14:paraId="3B0CEE47" w14:textId="476175A9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>Positive feelings associated with donating to good causes</w:t>
      </w:r>
    </w:p>
    <w:p w14:paraId="7A1DF37B" w14:textId="04E0BB0F" w:rsidR="00942F33" w:rsidRDefault="00942F33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>Means to effect positive social change</w:t>
      </w:r>
    </w:p>
    <w:p w14:paraId="6A129FC8" w14:textId="7D30E4D9" w:rsidR="00942F33" w:rsidRDefault="000D4455" w:rsidP="00D818F2">
      <w:pPr>
        <w:pStyle w:val="ListParagraph"/>
        <w:numPr>
          <w:ilvl w:val="0"/>
          <w:numId w:val="6"/>
        </w:numPr>
        <w:ind w:left="709" w:hanging="349"/>
        <w:jc w:val="both"/>
      </w:pPr>
      <w:r>
        <w:t xml:space="preserve">Healthier </w:t>
      </w:r>
      <w:r w:rsidR="00942F33">
        <w:t>relationship with gambling</w:t>
      </w:r>
      <w:r>
        <w:t xml:space="preserve"> (less about acquisition of wealth, more about good </w:t>
      </w:r>
      <w:r w:rsidR="006727F8">
        <w:t>causes)</w:t>
      </w:r>
    </w:p>
    <w:p w14:paraId="67889D49" w14:textId="77777777" w:rsidR="00942F33" w:rsidRPr="00942F33" w:rsidRDefault="00942F33" w:rsidP="00942F33">
      <w:pPr>
        <w:jc w:val="both"/>
        <w:rPr>
          <w:b/>
          <w:bCs/>
        </w:rPr>
      </w:pPr>
      <w:r w:rsidRPr="00942F33">
        <w:rPr>
          <w:b/>
          <w:bCs/>
        </w:rPr>
        <w:t>Risks</w:t>
      </w:r>
    </w:p>
    <w:p w14:paraId="027FA879" w14:textId="78E80D29" w:rsidR="00EE4ED0" w:rsidRDefault="00EE4ED0" w:rsidP="00942F33">
      <w:pPr>
        <w:pStyle w:val="ListParagraph"/>
        <w:numPr>
          <w:ilvl w:val="0"/>
          <w:numId w:val="6"/>
        </w:numPr>
        <w:ind w:left="709" w:hanging="349"/>
        <w:jc w:val="both"/>
      </w:pPr>
      <w:r>
        <w:t>Customer has slightly less money with which to gamble</w:t>
      </w:r>
    </w:p>
    <w:p w14:paraId="7F06ED5B" w14:textId="605D9DE8" w:rsidR="00942F33" w:rsidRDefault="00942F33" w:rsidP="00942F33">
      <w:pPr>
        <w:pStyle w:val="ListParagraph"/>
        <w:numPr>
          <w:ilvl w:val="0"/>
          <w:numId w:val="6"/>
        </w:numPr>
        <w:ind w:left="709" w:hanging="349"/>
        <w:jc w:val="both"/>
      </w:pPr>
      <w:r>
        <w:t>Operators may be resistant as they believe that funds would otherwise be reinvested in gambling</w:t>
      </w:r>
    </w:p>
    <w:p w14:paraId="47CCB538" w14:textId="64665FD2" w:rsidR="00942F33" w:rsidRDefault="00942F33" w:rsidP="00942F33">
      <w:pPr>
        <w:pStyle w:val="ListParagraph"/>
        <w:numPr>
          <w:ilvl w:val="0"/>
          <w:numId w:val="6"/>
        </w:numPr>
        <w:ind w:left="709" w:hanging="349"/>
        <w:jc w:val="both"/>
      </w:pPr>
      <w:r>
        <w:t>Benefits to sector, operator and individual are difficult to quantify and measure</w:t>
      </w:r>
    </w:p>
    <w:p w14:paraId="1350F43F" w14:textId="258D79EE" w:rsidR="00942F33" w:rsidRDefault="00942F33" w:rsidP="00942F33">
      <w:pPr>
        <w:pStyle w:val="ListParagraph"/>
        <w:numPr>
          <w:ilvl w:val="0"/>
          <w:numId w:val="6"/>
        </w:numPr>
        <w:ind w:left="709" w:hanging="349"/>
        <w:jc w:val="both"/>
      </w:pPr>
      <w:r>
        <w:t>Costs of establishing such a system may be high</w:t>
      </w:r>
    </w:p>
    <w:p w14:paraId="23B6D2A1" w14:textId="6AF0B734" w:rsidR="00942F33" w:rsidRDefault="00942F33" w:rsidP="00942F33">
      <w:pPr>
        <w:pStyle w:val="ListParagraph"/>
        <w:numPr>
          <w:ilvl w:val="0"/>
          <w:numId w:val="6"/>
        </w:numPr>
        <w:ind w:left="709" w:hanging="349"/>
        <w:jc w:val="both"/>
      </w:pPr>
      <w:r>
        <w:t>Customers may find the relationship between gambling and donating cumbersome, unusual or off-putting</w:t>
      </w:r>
    </w:p>
    <w:p w14:paraId="245631EB" w14:textId="7F65159B" w:rsidR="00942F33" w:rsidRDefault="00942F33" w:rsidP="00942F33">
      <w:pPr>
        <w:pStyle w:val="ListParagraph"/>
        <w:numPr>
          <w:ilvl w:val="0"/>
          <w:numId w:val="6"/>
        </w:numPr>
        <w:ind w:left="709" w:hanging="349"/>
        <w:jc w:val="both"/>
      </w:pPr>
      <w:r>
        <w:t>Customers justify excessive gambling with the caveat that they are contributing to good works</w:t>
      </w:r>
    </w:p>
    <w:p w14:paraId="19C5B933" w14:textId="77777777" w:rsidR="00942F33" w:rsidRDefault="00942F33" w:rsidP="00942F33">
      <w:pPr>
        <w:pStyle w:val="Sub-heading"/>
        <w:jc w:val="both"/>
      </w:pPr>
      <w:r>
        <w:t>Other opportunities</w:t>
      </w:r>
    </w:p>
    <w:p w14:paraId="515E8F2D" w14:textId="32C2D6F1" w:rsidR="00942F33" w:rsidRDefault="00942F33" w:rsidP="00942F33">
      <w:pPr>
        <w:pStyle w:val="ListParagraph"/>
        <w:numPr>
          <w:ilvl w:val="0"/>
          <w:numId w:val="6"/>
        </w:numPr>
        <w:ind w:left="709" w:hanging="295"/>
        <w:jc w:val="both"/>
      </w:pPr>
      <w:r>
        <w:t>Operators may want to take this one step further and offer to match the customer’s donation or propose that if a customer wins, they donate, but if the customer loses, the operator will donate.</w:t>
      </w:r>
    </w:p>
    <w:p w14:paraId="33A78D49" w14:textId="6BC601D0" w:rsidR="00942F33" w:rsidRDefault="00942F33" w:rsidP="00942F33">
      <w:pPr>
        <w:pStyle w:val="ListParagraph"/>
        <w:numPr>
          <w:ilvl w:val="0"/>
          <w:numId w:val="6"/>
        </w:numPr>
        <w:ind w:left="709" w:hanging="295"/>
        <w:jc w:val="both"/>
      </w:pPr>
      <w:r>
        <w:t xml:space="preserve">Partnership with ‘just giving’ or ‘virgin </w:t>
      </w:r>
      <w:r w:rsidR="00EE4ED0">
        <w:t>giving</w:t>
      </w:r>
      <w:r>
        <w:t>’ to facilitate the process smoothly and reach a wider range of charities</w:t>
      </w:r>
    </w:p>
    <w:p w14:paraId="3DE3FE7D" w14:textId="37ECACA4" w:rsidR="00942F33" w:rsidRDefault="00942F33" w:rsidP="00942F33">
      <w:pPr>
        <w:pStyle w:val="ListParagraph"/>
        <w:numPr>
          <w:ilvl w:val="0"/>
          <w:numId w:val="6"/>
        </w:numPr>
        <w:ind w:left="709" w:hanging="295"/>
        <w:jc w:val="both"/>
      </w:pPr>
      <w:r>
        <w:t>Operators could show customers the amount of money they have donated to good causes through their gambling activity in monthly breakdowns of spend.</w:t>
      </w:r>
    </w:p>
    <w:p w14:paraId="6EA6DA7F" w14:textId="07D5AF88" w:rsidR="00942F33" w:rsidRDefault="00942F33" w:rsidP="00942F33">
      <w:pPr>
        <w:pStyle w:val="ListParagraph"/>
        <w:numPr>
          <w:ilvl w:val="0"/>
          <w:numId w:val="6"/>
        </w:numPr>
        <w:ind w:left="709" w:hanging="295"/>
        <w:jc w:val="both"/>
      </w:pPr>
      <w:r>
        <w:t xml:space="preserve">Trial this during certain times of year or for certain events - e.g. donations to RG charities during RG </w:t>
      </w:r>
      <w:r w:rsidR="00341D3E">
        <w:t>week or</w:t>
      </w:r>
      <w:r>
        <w:t xml:space="preserve"> joining national initiatives like Comic Relief or Children in Need.</w:t>
      </w:r>
    </w:p>
    <w:p w14:paraId="12193938" w14:textId="48BFD056" w:rsidR="00942F33" w:rsidRDefault="00942F33" w:rsidP="00942F33">
      <w:pPr>
        <w:pStyle w:val="ListParagraph"/>
        <w:numPr>
          <w:ilvl w:val="0"/>
          <w:numId w:val="6"/>
        </w:numPr>
        <w:ind w:left="709" w:hanging="295"/>
        <w:jc w:val="both"/>
      </w:pPr>
      <w:r>
        <w:t>Land based sector?  Simple ways of doing this such as providing donation points for chips / small change / tokens (e.g. such as those used in Waitrose to donate to local charities)</w:t>
      </w:r>
    </w:p>
    <w:p w14:paraId="6CB4CF37" w14:textId="77777777" w:rsidR="00942F33" w:rsidRDefault="00942F33" w:rsidP="00942F33"/>
    <w:p w14:paraId="6F7E61D2" w14:textId="77777777" w:rsidR="00942F33" w:rsidRDefault="00942F33" w:rsidP="00942F33">
      <w:pPr>
        <w:pStyle w:val="Sub-heading"/>
      </w:pPr>
      <w:r>
        <w:t>Next steps</w:t>
      </w:r>
    </w:p>
    <w:p w14:paraId="5E7BA468" w14:textId="0BF94C95" w:rsidR="00942F33" w:rsidRDefault="00942F33" w:rsidP="00D818F2">
      <w:pPr>
        <w:pStyle w:val="ListParagraph"/>
        <w:numPr>
          <w:ilvl w:val="0"/>
          <w:numId w:val="6"/>
        </w:numPr>
        <w:ind w:left="709" w:hanging="283"/>
      </w:pPr>
      <w:r>
        <w:t>Get feedback from operators / commission / others</w:t>
      </w:r>
    </w:p>
    <w:p w14:paraId="63BB6EBE" w14:textId="0ED834B8" w:rsidR="00BF0A4D" w:rsidRPr="00DB1868" w:rsidRDefault="00942F33" w:rsidP="00D818F2">
      <w:pPr>
        <w:pStyle w:val="ListParagraph"/>
        <w:numPr>
          <w:ilvl w:val="0"/>
          <w:numId w:val="6"/>
        </w:numPr>
        <w:ind w:left="709" w:hanging="283"/>
      </w:pPr>
      <w:r>
        <w:t>Pilot with customers</w:t>
      </w:r>
      <w:r w:rsidR="009F505C">
        <w:t xml:space="preserve"> – how does it make them feel? Interruption or added value?</w:t>
      </w:r>
    </w:p>
    <w:sectPr w:rsidR="00BF0A4D" w:rsidRPr="00DB1868" w:rsidSect="00942F33">
      <w:footerReference w:type="default" r:id="rId8"/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E85B3" w14:textId="77777777" w:rsidR="00C61917" w:rsidRDefault="00C61917" w:rsidP="00D73B94">
      <w:pPr>
        <w:spacing w:after="0" w:line="240" w:lineRule="auto"/>
      </w:pPr>
      <w:r>
        <w:separator/>
      </w:r>
    </w:p>
  </w:endnote>
  <w:endnote w:type="continuationSeparator" w:id="0">
    <w:p w14:paraId="3699330D" w14:textId="77777777" w:rsidR="00C61917" w:rsidRDefault="00C61917" w:rsidP="00D7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7F684" w14:textId="7DEE63EF" w:rsidR="00764AEC" w:rsidRDefault="003268DD">
    <w:pPr>
      <w:pStyle w:val="Footer"/>
    </w:pPr>
    <w:r>
      <w:tab/>
    </w:r>
    <w:r>
      <w:tab/>
    </w:r>
    <w:r w:rsidR="00764AEC">
      <w:t>Confidential MCK Advisory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EA268" w14:textId="77777777" w:rsidR="00C61917" w:rsidRDefault="00C61917" w:rsidP="00D73B94">
      <w:pPr>
        <w:spacing w:after="0" w:line="240" w:lineRule="auto"/>
      </w:pPr>
      <w:r>
        <w:separator/>
      </w:r>
    </w:p>
  </w:footnote>
  <w:footnote w:type="continuationSeparator" w:id="0">
    <w:p w14:paraId="2C50BD93" w14:textId="77777777" w:rsidR="00C61917" w:rsidRDefault="00C61917" w:rsidP="00D73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B0951"/>
    <w:multiLevelType w:val="multilevel"/>
    <w:tmpl w:val="0EF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84ED9"/>
    <w:multiLevelType w:val="hybridMultilevel"/>
    <w:tmpl w:val="5CC0B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F37B6"/>
    <w:multiLevelType w:val="hybridMultilevel"/>
    <w:tmpl w:val="734C8D88"/>
    <w:lvl w:ilvl="0" w:tplc="6B60AE5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6FC8"/>
    <w:multiLevelType w:val="hybridMultilevel"/>
    <w:tmpl w:val="1CB0D022"/>
    <w:lvl w:ilvl="0" w:tplc="6B60AE5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5828"/>
    <w:multiLevelType w:val="hybridMultilevel"/>
    <w:tmpl w:val="965E2A0C"/>
    <w:lvl w:ilvl="0" w:tplc="6B60AE5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54BCF"/>
    <w:multiLevelType w:val="hybridMultilevel"/>
    <w:tmpl w:val="299459C8"/>
    <w:lvl w:ilvl="0" w:tplc="6B60AE5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05BB"/>
    <w:multiLevelType w:val="hybridMultilevel"/>
    <w:tmpl w:val="2ABE2A4C"/>
    <w:lvl w:ilvl="0" w:tplc="6B60AE5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05DD7"/>
    <w:multiLevelType w:val="hybridMultilevel"/>
    <w:tmpl w:val="395C0B5C"/>
    <w:lvl w:ilvl="0" w:tplc="6B60AE5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A5143"/>
    <w:multiLevelType w:val="hybridMultilevel"/>
    <w:tmpl w:val="6582BF4A"/>
    <w:lvl w:ilvl="0" w:tplc="6B60AE5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1404C"/>
    <w:multiLevelType w:val="hybridMultilevel"/>
    <w:tmpl w:val="005C3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70DFC"/>
    <w:multiLevelType w:val="hybridMultilevel"/>
    <w:tmpl w:val="46FA7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32600">
    <w:abstractNumId w:val="0"/>
  </w:num>
  <w:num w:numId="2" w16cid:durableId="1742482593">
    <w:abstractNumId w:val="9"/>
  </w:num>
  <w:num w:numId="3" w16cid:durableId="362486520">
    <w:abstractNumId w:val="1"/>
  </w:num>
  <w:num w:numId="4" w16cid:durableId="1711220949">
    <w:abstractNumId w:val="10"/>
  </w:num>
  <w:num w:numId="5" w16cid:durableId="605574989">
    <w:abstractNumId w:val="7"/>
  </w:num>
  <w:num w:numId="6" w16cid:durableId="1216158857">
    <w:abstractNumId w:val="2"/>
  </w:num>
  <w:num w:numId="7" w16cid:durableId="312567139">
    <w:abstractNumId w:val="8"/>
  </w:num>
  <w:num w:numId="8" w16cid:durableId="2099476383">
    <w:abstractNumId w:val="3"/>
  </w:num>
  <w:num w:numId="9" w16cid:durableId="838890113">
    <w:abstractNumId w:val="5"/>
  </w:num>
  <w:num w:numId="10" w16cid:durableId="1532644374">
    <w:abstractNumId w:val="4"/>
  </w:num>
  <w:num w:numId="11" w16cid:durableId="173813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4D"/>
    <w:rsid w:val="000D4455"/>
    <w:rsid w:val="0012093B"/>
    <w:rsid w:val="001245EE"/>
    <w:rsid w:val="00183DF4"/>
    <w:rsid w:val="003268DD"/>
    <w:rsid w:val="00341D3E"/>
    <w:rsid w:val="003448CC"/>
    <w:rsid w:val="00364817"/>
    <w:rsid w:val="00380B99"/>
    <w:rsid w:val="004704A2"/>
    <w:rsid w:val="00485B9A"/>
    <w:rsid w:val="00501C1C"/>
    <w:rsid w:val="00547F89"/>
    <w:rsid w:val="005D2F6D"/>
    <w:rsid w:val="005E39E5"/>
    <w:rsid w:val="006727F8"/>
    <w:rsid w:val="006A2C60"/>
    <w:rsid w:val="006D55EE"/>
    <w:rsid w:val="006E07C6"/>
    <w:rsid w:val="007612DE"/>
    <w:rsid w:val="00764AEC"/>
    <w:rsid w:val="008821CF"/>
    <w:rsid w:val="00891C33"/>
    <w:rsid w:val="008A360F"/>
    <w:rsid w:val="00917849"/>
    <w:rsid w:val="00927760"/>
    <w:rsid w:val="00942F33"/>
    <w:rsid w:val="0097522C"/>
    <w:rsid w:val="00993D26"/>
    <w:rsid w:val="009F505C"/>
    <w:rsid w:val="00AA4E73"/>
    <w:rsid w:val="00AD3293"/>
    <w:rsid w:val="00AE4053"/>
    <w:rsid w:val="00B205BE"/>
    <w:rsid w:val="00B2587A"/>
    <w:rsid w:val="00BA5EFF"/>
    <w:rsid w:val="00BF0A4D"/>
    <w:rsid w:val="00C01585"/>
    <w:rsid w:val="00C21997"/>
    <w:rsid w:val="00C46B43"/>
    <w:rsid w:val="00C61917"/>
    <w:rsid w:val="00CE0C4C"/>
    <w:rsid w:val="00D276AC"/>
    <w:rsid w:val="00D73B94"/>
    <w:rsid w:val="00D818F2"/>
    <w:rsid w:val="00DB1868"/>
    <w:rsid w:val="00DB59A7"/>
    <w:rsid w:val="00ED7CDD"/>
    <w:rsid w:val="00EE4ED0"/>
    <w:rsid w:val="00F159AB"/>
    <w:rsid w:val="00F22902"/>
    <w:rsid w:val="00F25520"/>
    <w:rsid w:val="00F8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53488"/>
  <w15:chartTrackingRefBased/>
  <w15:docId w15:val="{673F0973-39F7-42A5-8674-C5B68BB1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A4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CareHeadings">
    <w:name w:val="GamCare Headings"/>
    <w:next w:val="Normal"/>
    <w:link w:val="GamCareHeadingsChar"/>
    <w:qFormat/>
    <w:rsid w:val="00BF0A4D"/>
    <w:pPr>
      <w:spacing w:after="120" w:line="276" w:lineRule="auto"/>
    </w:pPr>
    <w:rPr>
      <w:rFonts w:ascii="Arial" w:hAnsi="Arial"/>
      <w:b/>
      <w:color w:val="0070C0"/>
      <w:sz w:val="28"/>
    </w:rPr>
  </w:style>
  <w:style w:type="character" w:customStyle="1" w:styleId="GamCareHeadingsChar">
    <w:name w:val="GamCare Headings Char"/>
    <w:basedOn w:val="DefaultParagraphFont"/>
    <w:link w:val="GamCareHeadings"/>
    <w:rsid w:val="00BF0A4D"/>
    <w:rPr>
      <w:rFonts w:ascii="Arial" w:hAnsi="Arial"/>
      <w:b/>
      <w:color w:val="0070C0"/>
      <w:sz w:val="28"/>
    </w:rPr>
  </w:style>
  <w:style w:type="paragraph" w:customStyle="1" w:styleId="Sub-heading">
    <w:name w:val="Sub-heading"/>
    <w:basedOn w:val="GamCareHeadings"/>
    <w:next w:val="Normal"/>
    <w:link w:val="Sub-headingChar"/>
    <w:qFormat/>
    <w:rsid w:val="00BF0A4D"/>
    <w:rPr>
      <w:sz w:val="24"/>
    </w:rPr>
  </w:style>
  <w:style w:type="character" w:customStyle="1" w:styleId="Sub-headingChar">
    <w:name w:val="Sub-heading Char"/>
    <w:basedOn w:val="GamCareHeadingsChar"/>
    <w:link w:val="Sub-heading"/>
    <w:rsid w:val="00BF0A4D"/>
    <w:rPr>
      <w:rFonts w:ascii="Arial" w:hAnsi="Arial"/>
      <w:b/>
      <w:color w:val="0070C0"/>
      <w:sz w:val="24"/>
    </w:rPr>
  </w:style>
  <w:style w:type="paragraph" w:styleId="Header">
    <w:name w:val="header"/>
    <w:basedOn w:val="Normal"/>
    <w:link w:val="HeaderChar"/>
    <w:uiPriority w:val="99"/>
    <w:unhideWhenUsed/>
    <w:rsid w:val="00D73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B9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3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9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DB1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BDBCF-9756-429B-99BF-7EC821A1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Sweet</dc:creator>
  <cp:keywords/>
  <dc:description/>
  <cp:lastModifiedBy>Mike Kenward</cp:lastModifiedBy>
  <cp:revision>10</cp:revision>
  <dcterms:created xsi:type="dcterms:W3CDTF">2024-12-11T12:46:00Z</dcterms:created>
  <dcterms:modified xsi:type="dcterms:W3CDTF">2025-03-28T12:49:00Z</dcterms:modified>
</cp:coreProperties>
</file>