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Mapa de navegación — Mora y Asociados</w:t>
      </w:r>
    </w:p>
    <w:p>
      <w:r>
        <w:t>Sitio web informativo de servicios contables, fiscales y de nómina.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Página</w:t>
            </w:r>
          </w:p>
        </w:tc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Enlaces principales</w:t>
            </w:r>
          </w:p>
        </w:tc>
      </w:tr>
      <w:tr>
        <w:tc>
          <w:tcPr>
            <w:tcW w:type="dxa" w:w="2880"/>
          </w:tcPr>
          <w:p>
            <w:r>
              <w:t>Inicio</w:t>
            </w:r>
          </w:p>
        </w:tc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Quiénes somos · Servicios · Galería · Contacto</w:t>
            </w:r>
          </w:p>
        </w:tc>
      </w:tr>
      <w:tr>
        <w:tc>
          <w:tcPr>
            <w:tcW w:type="dxa" w:w="2880"/>
          </w:tcPr>
          <w:p>
            <w:r>
              <w:t>Quiénes somos</w:t>
            </w:r>
          </w:p>
        </w:tc>
        <w:tc>
          <w:tcPr>
            <w:tcW w:type="dxa" w:w="2880"/>
          </w:tcPr>
          <w:p>
            <w:r>
              <w:t>nosotros.html</w:t>
            </w:r>
          </w:p>
        </w:tc>
        <w:tc>
          <w:tcPr>
            <w:tcW w:type="dxa" w:w="2880"/>
          </w:tcPr>
          <w:p>
            <w:r>
              <w:t>Inicio · Servicios · Galería · Contacto</w:t>
            </w:r>
          </w:p>
        </w:tc>
      </w:tr>
      <w:tr>
        <w:tc>
          <w:tcPr>
            <w:tcW w:type="dxa" w:w="2880"/>
          </w:tcPr>
          <w:p>
            <w:r>
              <w:t>Servicios</w:t>
            </w:r>
          </w:p>
        </w:tc>
        <w:tc>
          <w:tcPr>
            <w:tcW w:type="dxa" w:w="2880"/>
          </w:tcPr>
          <w:p>
            <w:r>
              <w:t>servicios.html</w:t>
            </w:r>
          </w:p>
        </w:tc>
        <w:tc>
          <w:tcPr>
            <w:tcW w:type="dxa" w:w="2880"/>
          </w:tcPr>
          <w:p>
            <w:r>
              <w:t>Inicio · Quiénes somos · Galería · Contacto</w:t>
            </w:r>
          </w:p>
        </w:tc>
      </w:tr>
      <w:tr>
        <w:tc>
          <w:tcPr>
            <w:tcW w:type="dxa" w:w="2880"/>
          </w:tcPr>
          <w:p>
            <w:r>
              <w:t>Galería</w:t>
            </w:r>
          </w:p>
        </w:tc>
        <w:tc>
          <w:tcPr>
            <w:tcW w:type="dxa" w:w="2880"/>
          </w:tcPr>
          <w:p>
            <w:r>
              <w:t>galeria.html</w:t>
            </w:r>
          </w:p>
        </w:tc>
        <w:tc>
          <w:tcPr>
            <w:tcW w:type="dxa" w:w="2880"/>
          </w:tcPr>
          <w:p>
            <w:r>
              <w:t>Inicio · Quiénes somos · Servicios · Contacto</w:t>
            </w:r>
          </w:p>
        </w:tc>
      </w:tr>
      <w:tr>
        <w:tc>
          <w:tcPr>
            <w:tcW w:type="dxa" w:w="2880"/>
          </w:tcPr>
          <w:p>
            <w:r>
              <w:t>Contacto</w:t>
            </w:r>
          </w:p>
        </w:tc>
        <w:tc>
          <w:tcPr>
            <w:tcW w:type="dxa" w:w="2880"/>
          </w:tcPr>
          <w:p>
            <w:r>
              <w:t>contacto.html</w:t>
            </w:r>
          </w:p>
        </w:tc>
        <w:tc>
          <w:tcPr>
            <w:tcW w:type="dxa" w:w="2880"/>
          </w:tcPr>
          <w:p>
            <w:r>
              <w:t>Inicio · Quiénes somos · Servicios · Galería</w:t>
            </w:r>
          </w:p>
        </w:tc>
      </w:tr>
    </w:tbl>
    <w:p>
      <w:pPr>
        <w:pStyle w:val="Heading1"/>
      </w:pPr>
      <w:r>
        <w:t>Estructura visual</w:t>
      </w:r>
    </w:p>
    <w:p>
      <w:r>
        <w:t>INICIO</w:t>
      </w:r>
    </w:p>
    <w:p>
      <w:r>
        <w:t>├── Quiénes somos</w:t>
      </w:r>
    </w:p>
    <w:p>
      <w:r>
        <w:t>├── Servicios</w:t>
      </w:r>
    </w:p>
    <w:p>
      <w:r>
        <w:t>├── Galería</w:t>
      </w:r>
    </w:p>
    <w:p>
      <w:r>
        <w:t>└── Contacto</w:t>
      </w:r>
    </w:p>
    <w:p>
      <w:r>
        <w:t>Todas las páginas regresan a Inicio mediante el menú principal y el logotipo.</w:t>
      </w:r>
    </w:p>
    <w:p>
      <w:pPr>
        <w:pStyle w:val="Heading1"/>
      </w:pPr>
      <w:r>
        <w:t>Justificación de colores</w:t>
      </w:r>
    </w:p>
    <w:p>
      <w:r>
        <w:t>Rojo: se utiliza como color de acento para destacar botones, títulos y elementos importantes. Negro: aporta contraste y una apariencia sobria. Blanco y gris claro: facilitan la lectura y mantienen una interfaz limpia. Esta combinación también retoma los colores visibles en el material de la empresa.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