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before="400"/>
        <w:jc w:val="center"/>
      </w:pPr>
      <w:r>
        <w:rPr>
          <w:b/>
          <w:bCs/>
          <w:color w:val="1B2A4A"/>
          <w:sz w:val="64"/>
          <w:szCs w:val="64"/>
        </w:rPr>
        <w:t xml:space="preserve">KIXIMA</w:t>
      </w:r>
    </w:p>
    <w:p>
      <w:pPr>
        <w:spacing w:before="200"/>
        <w:jc w:val="center"/>
      </w:pPr>
      <w:r>
        <w:rPr>
          <w:color w:val="B8862E"/>
          <w:sz w:val="40"/>
          <w:szCs w:val="40"/>
        </w:rPr>
        <w:t xml:space="preserve">Manual do Utilizador</w:t>
      </w:r>
    </w:p>
    <w:p>
      <w:pPr>
        <w:spacing w:before="120"/>
        <w:jc w:val="center"/>
      </w:pPr>
      <w:r>
        <w:rPr>
          <w:i/>
          <w:iCs/>
          <w:color w:val="5B5B5B"/>
          <w:sz w:val="22"/>
          <w:szCs w:val="22"/>
        </w:rPr>
        <w:t xml:space="preserve">A plataforma de e-marketplace com pagamento garantido para o setor Oil &amp; Gas em Angola</w:t>
      </w:r>
    </w:p>
    <w:p>
      <w:pPr>
        <w:spacing w:before="1600"/>
        <w:jc w:val="center"/>
      </w:pPr>
      <w:r>
        <w:rPr>
          <w:color w:val="5B5B5B"/>
          <w:sz w:val="20"/>
          <w:szCs w:val="20"/>
        </w:rPr>
        <w:t xml:space="preserve">Versão 1.0 — Ambiente de teste</w:t>
      </w:r>
    </w:p>
    <w:p>
      <w:pPr>
        <w:spacing w:before="80"/>
        <w:jc w:val="center"/>
      </w:pPr>
      <w:r>
        <w:rPr>
          <w:color w:val="5B5B5B"/>
          <w:sz w:val="20"/>
          <w:szCs w:val="20"/>
        </w:rPr>
        <w:t xml:space="preserve">Agosto de 2026</w:t>
      </w:r>
    </w:p>
    <w:p>
      <w:r>
        <w:br w:type="page"/>
      </w:r>
    </w:p>
    <w:p>
      <w:pPr>
        <w:pStyle w:val="Heading1"/>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pPr>
      <w:r>
        <w:t xml:space="preserve">1. Introdução</w:t>
      </w:r>
    </w:p>
    <w:p>
      <w:pPr>
        <w:pStyle w:val="Heading2"/>
        <w:spacing w:after="160" w:before="300"/>
      </w:pPr>
      <w:r>
        <w:t xml:space="preserve">O que é a KIXIMA</w:t>
      </w:r>
    </w:p>
    <w:p>
      <w:pPr>
        <w:spacing w:after="160"/>
      </w:pPr>
      <w:r>
        <w:t xml:space="preserve">A KIXIMA é um e-marketplace fechado (só empresas cadastradas e aprovadas) para o setor petrolífero e de gás em Angola. Liga empresas COMPRADORAS (operadoras e clientes) a empresas FORNECEDORAS (bens e serviços), e garante o dinheiro em cada transação: a KIXIMA só liberta o pagamento ao fornecedor depois de o comprador confirmar que recebeu o que encomendou em conformidade.</w:t>
      </w:r>
    </w:p>
    <w:p>
      <w:pPr>
        <w:spacing w:after="160"/>
      </w:pPr>
      <w:r>
        <w:t xml:space="preserve">Isto é o que se quer dizer com "pagamento garantido": o comprador paga para dentro da plataforma (nunca diretamente ao fornecedor por fora), a KIXIMA guarda o comprovativo e o rasto fiscal, e o ciclo só se fecha quando as duas partes confirmam o que aconteceu — o pedido, o preço, a entrega e a receção.</w:t>
      </w:r>
    </w:p>
    <w:p>
      <w:pPr>
        <w:pStyle w:val="Heading2"/>
        <w:spacing w:after="160" w:before="300"/>
      </w:pPr>
      <w:r>
        <w:t xml:space="preserve">Para quem é este manual</w:t>
      </w:r>
    </w:p>
    <w:p>
      <w:pPr>
        <w:spacing w:after="160"/>
      </w:pPr>
      <w:r>
        <w:t xml:space="preserve">Este manual cobre a plataforma inteira: todas as pessoas que a usam (as "personas", capítulo 2) e todas as transações que nela correm — desde o cadastro de uma empresa até à emissão de uma fatura certificada, passando por cotações, ordens de compra, contratos, pagamentos, subscrições e o apoio ao cliente.</w:t>
      </w:r>
    </w:p>
    <w:p>
      <w:pPr>
        <w:spacing w:after="160"/>
      </w:pPr>
      <w:r>
        <w:t xml:space="preserve">Cada capítulo de transação indica, numa caixa "Quem faz isto", qual a persona responsável por cada passo — porque na KIXIMA quase nenhuma ação é de uma pessoa só: um pedido nasce do comprador, passa pela aprovação do administrador da empresa, é aceite pelo fornecedor, pago pelo financeiro e confirmado de volta pelo comprador.</w:t>
      </w:r>
    </w:p>
    <w:p>
      <w:pPr>
        <w:pStyle w:val="Heading2"/>
        <w:spacing w:after="160" w:before="300"/>
      </w:pPr>
      <w:r>
        <w:t xml:space="preserve">Como este manual está organizado</w:t>
      </w:r>
    </w:p>
    <w:p>
      <w:pPr>
        <w:pStyle w:val="ListParagraph"/>
        <w:numPr>
          <w:ilvl w:val="0"/>
          <w:numId w:val="2"/>
        </w:numPr>
        <w:spacing w:after="80"/>
      </w:pPr>
      <w:r>
        <w:t xml:space="preserve">Capítulo 2 — quem usa a plataforma (as cinco personas e as áreas do Admin do Sistema).</w:t>
      </w:r>
    </w:p>
    <w:p>
      <w:pPr>
        <w:pStyle w:val="ListParagraph"/>
        <w:numPr>
          <w:ilvl w:val="0"/>
          <w:numId w:val="2"/>
        </w:numPr>
        <w:spacing w:after="80"/>
      </w:pPr>
      <w:r>
        <w:t xml:space="preserve">Capítulo 3 — como começar: cadastro, aprovação, convites, login e segurança da conta.</w:t>
      </w:r>
    </w:p>
    <w:p>
      <w:pPr>
        <w:pStyle w:val="ListParagraph"/>
        <w:numPr>
          <w:ilvl w:val="0"/>
          <w:numId w:val="2"/>
        </w:numPr>
        <w:spacing w:after="80"/>
      </w:pPr>
      <w:r>
        <w:t xml:space="preserve">Capítulo 4 — o que cada persona vê no menu, para orientação rápida.</w:t>
      </w:r>
    </w:p>
    <w:p>
      <w:pPr>
        <w:pStyle w:val="ListParagraph"/>
        <w:numPr>
          <w:ilvl w:val="0"/>
          <w:numId w:val="2"/>
        </w:numPr>
        <w:spacing w:after="80"/>
      </w:pPr>
      <w:r>
        <w:t xml:space="preserve">Capítulos 5 a 21 — cada transação da plataforma, com os seus estados e quem faz o quê em cada um.</w:t>
      </w:r>
    </w:p>
    <w:p>
      <w:pPr>
        <w:pStyle w:val="ListParagraph"/>
        <w:numPr>
          <w:ilvl w:val="0"/>
          <w:numId w:val="2"/>
        </w:numPr>
        <w:spacing w:after="80"/>
      </w:pPr>
      <w:r>
        <w:t xml:space="preserve">Capítulo 22 — perguntas frequentes.</w:t>
      </w:r>
    </w:p>
    <w:p>
      <w:pPr>
        <w:pStyle w:val="ListParagraph"/>
        <w:numPr>
          <w:ilvl w:val="0"/>
          <w:numId w:val="2"/>
        </w:numPr>
        <w:spacing w:after="80"/>
      </w:pPr>
      <w:r>
        <w:t xml:space="preserve">Anexo A — glossário de todos os estados usados na plataforma, para consulta rápida.</w:t>
      </w:r>
    </w:p>
    <w:p>
      <w:pPr>
        <w:pStyle w:val="Heading1"/>
        <w:pageBreakBefore/>
        <w:spacing w:after="240"/>
      </w:pPr>
      <w:r>
        <w:t xml:space="preserve">2. Personas da Plataforma</w:t>
      </w:r>
    </w:p>
    <w:p>
      <w:pPr>
        <w:spacing w:after="160"/>
      </w:pPr>
      <w:r>
        <w:t xml:space="preserve">A KIXIMA distingue cinco perfis de utilizador. Os quatro primeiros pertencem sempre a uma empresa (cliente ou fornecedora); o quinto é interno à própria KIXIMA e nunca pertence a nenhuma empresa que transacione na plataforma.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5000"/>
      </w:tblGrid>
      <w:tr>
        <w:trPr>
          <w:tblHeader/>
        </w:trPr>
        <w:tc>
          <w:tcPr>
            <w:tcW w:type="dxa" w:w="2400"/>
            <w:shd w:fill="1B2A4A" w:val="clear"/>
            <w:tcMar>
              <w:top w:type="dxa" w:w="80"/>
              <w:left w:type="dxa" w:w="120"/>
              <w:bottom w:type="dxa" w:w="80"/>
              <w:right w:type="dxa" w:w="120"/>
            </w:tcMar>
            <w:vAlign w:val="center"/>
          </w:tcPr>
          <w:p>
            <w:pPr>
              <w:jc w:val="left"/>
            </w:pPr>
            <w:r>
              <w:rPr>
                <w:b/>
                <w:bCs/>
                <w:color w:val="FFFFFF"/>
              </w:rPr>
              <w:t xml:space="preserve">Persona</w:t>
            </w:r>
          </w:p>
        </w:tc>
        <w:tc>
          <w:tcPr>
            <w:tcW w:type="dxa" w:w="2600"/>
            <w:shd w:fill="1B2A4A" w:val="clear"/>
            <w:tcMar>
              <w:top w:type="dxa" w:w="80"/>
              <w:left w:type="dxa" w:w="120"/>
              <w:bottom w:type="dxa" w:w="80"/>
              <w:right w:type="dxa" w:w="120"/>
            </w:tcMar>
            <w:vAlign w:val="center"/>
          </w:tcPr>
          <w:p>
            <w:pPr>
              <w:jc w:val="left"/>
            </w:pPr>
            <w:r>
              <w:rPr>
                <w:b/>
                <w:bCs/>
                <w:color w:val="FFFFFF"/>
              </w:rPr>
              <w:t xml:space="preserve">Pertence a</w:t>
            </w:r>
          </w:p>
        </w:tc>
        <w:tc>
          <w:tcPr>
            <w:tcW w:type="dxa" w:w="5000"/>
            <w:shd w:fill="1B2A4A" w:val="clear"/>
            <w:tcMar>
              <w:top w:type="dxa" w:w="80"/>
              <w:left w:type="dxa" w:w="120"/>
              <w:bottom w:type="dxa" w:w="80"/>
              <w:right w:type="dxa" w:w="120"/>
            </w:tcMar>
            <w:vAlign w:val="center"/>
          </w:tcPr>
          <w:p>
            <w:pPr>
              <w:jc w:val="left"/>
            </w:pPr>
            <w:r>
              <w:rPr>
                <w:b/>
                <w:bCs/>
                <w:color w:val="FFFFFF"/>
              </w:rPr>
              <w:t xml:space="preserve">O que faz</w:t>
            </w:r>
          </w:p>
        </w:tc>
      </w:tr>
      <w:tr>
        <w:tc>
          <w:tcPr>
            <w:tcW w:type="dxa" w:w="2400"/>
            <w:tcMar>
              <w:top w:type="dxa" w:w="80"/>
              <w:left w:type="dxa" w:w="120"/>
              <w:bottom w:type="dxa" w:w="80"/>
              <w:right w:type="dxa" w:w="120"/>
            </w:tcMar>
            <w:vAlign w:val="center"/>
          </w:tcPr>
          <w:p>
            <w:pPr>
              <w:jc w:val="left"/>
            </w:pPr>
            <w:r>
              <w:rPr>
                <w:b w:val="false"/>
                <w:bCs w:val="false"/>
                <w:color w:val="1A1A1A"/>
              </w:rPr>
              <w:t xml:space="preserve">Comprador</w:t>
            </w:r>
          </w:p>
        </w:tc>
        <w:tc>
          <w:tcPr>
            <w:tcW w:type="dxa" w:w="2600"/>
            <w:tcMar>
              <w:top w:type="dxa" w:w="80"/>
              <w:left w:type="dxa" w:w="120"/>
              <w:bottom w:type="dxa" w:w="80"/>
              <w:right w:type="dxa" w:w="120"/>
            </w:tcMar>
            <w:vAlign w:val="center"/>
          </w:tcPr>
          <w:p>
            <w:pPr>
              <w:jc w:val="left"/>
            </w:pPr>
            <w:r>
              <w:rPr>
                <w:b w:val="false"/>
                <w:bCs w:val="false"/>
                <w:color w:val="1A1A1A"/>
              </w:rPr>
              <w:t xml:space="preserve">Empresa Cliente</w:t>
            </w:r>
          </w:p>
        </w:tc>
        <w:tc>
          <w:tcPr>
            <w:tcW w:type="dxa" w:w="5000"/>
            <w:tcMar>
              <w:top w:type="dxa" w:w="80"/>
              <w:left w:type="dxa" w:w="120"/>
              <w:bottom w:type="dxa" w:w="80"/>
              <w:right w:type="dxa" w:w="120"/>
            </w:tcMar>
            <w:vAlign w:val="center"/>
          </w:tcPr>
          <w:p>
            <w:pPr>
              <w:jc w:val="left"/>
            </w:pPr>
            <w:r>
              <w:rPr>
                <w:b w:val="false"/>
                <w:bCs w:val="false"/>
                <w:color w:val="1A1A1A"/>
              </w:rPr>
              <w:t xml:space="preserve">Explora o catálogo, pede cotações, monta a cesta, faz checkout (cria ordens de compra) e confirma a receção das entregas.</w:t>
            </w:r>
          </w:p>
        </w:tc>
      </w:tr>
      <w:tr>
        <w:tc>
          <w:tcPr>
            <w:tcW w:type="dxa" w:w="2400"/>
            <w:shd w:fill="F4F1EA" w:val="clear"/>
            <w:tcMar>
              <w:top w:type="dxa" w:w="80"/>
              <w:left w:type="dxa" w:w="120"/>
              <w:bottom w:type="dxa" w:w="80"/>
              <w:right w:type="dxa" w:w="120"/>
            </w:tcMar>
            <w:vAlign w:val="center"/>
          </w:tcPr>
          <w:p>
            <w:pPr>
              <w:jc w:val="left"/>
            </w:pPr>
            <w:r>
              <w:rPr>
                <w:b w:val="false"/>
                <w:bCs w:val="false"/>
                <w:color w:val="1A1A1A"/>
              </w:rPr>
              <w:t xml:space="preserve">Administrador da Empresa</w:t>
            </w:r>
            <w:r>
              <w:rPr>
                <w:b w:val="false"/>
                <w:bCs w:val="false"/>
                <w:color w:val="1A1A1A"/>
              </w:rPr>
              <w:br/>
              <w:t xml:space="preserve">(COMPANY_ADMIN)</w:t>
            </w:r>
          </w:p>
        </w:tc>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Empresa Cliente ou Fornecedora</w:t>
            </w:r>
          </w:p>
        </w:tc>
        <w:tc>
          <w:tcPr>
            <w:tcW w:type="dxa" w:w="5000"/>
            <w:shd w:fill="F4F1EA" w:val="clear"/>
            <w:tcMar>
              <w:top w:type="dxa" w:w="80"/>
              <w:left w:type="dxa" w:w="120"/>
              <w:bottom w:type="dxa" w:w="80"/>
              <w:right w:type="dxa" w:w="120"/>
            </w:tcMar>
            <w:vAlign w:val="center"/>
          </w:tcPr>
          <w:p>
            <w:pPr>
              <w:jc w:val="left"/>
            </w:pPr>
            <w:r>
              <w:rPr>
                <w:b w:val="false"/>
                <w:bCs w:val="false"/>
                <w:color w:val="1A1A1A"/>
              </w:rPr>
              <w:t xml:space="preserve">Administra a própria empresa: convida e gere colaboradores, aprova ou rejeita ordens de compra, define permissões, acompanha contratos e a subscrição do plano.</w:t>
            </w:r>
          </w:p>
        </w:tc>
      </w:tr>
      <w:tr>
        <w:tc>
          <w:tcPr>
            <w:tcW w:type="dxa" w:w="2400"/>
            <w:tcMar>
              <w:top w:type="dxa" w:w="80"/>
              <w:left w:type="dxa" w:w="120"/>
              <w:bottom w:type="dxa" w:w="80"/>
              <w:right w:type="dxa" w:w="120"/>
            </w:tcMar>
            <w:vAlign w:val="center"/>
          </w:tcPr>
          <w:p>
            <w:pPr>
              <w:jc w:val="left"/>
            </w:pPr>
            <w:r>
              <w:rPr>
                <w:b w:val="false"/>
                <w:bCs w:val="false"/>
                <w:color w:val="1A1A1A"/>
              </w:rPr>
              <w:t xml:space="preserve">Fornecedor</w:t>
            </w:r>
          </w:p>
        </w:tc>
        <w:tc>
          <w:tcPr>
            <w:tcW w:type="dxa" w:w="2600"/>
            <w:tcMar>
              <w:top w:type="dxa" w:w="80"/>
              <w:left w:type="dxa" w:w="120"/>
              <w:bottom w:type="dxa" w:w="80"/>
              <w:right w:type="dxa" w:w="120"/>
            </w:tcMar>
            <w:vAlign w:val="center"/>
          </w:tcPr>
          <w:p>
            <w:pPr>
              <w:jc w:val="left"/>
            </w:pPr>
            <w:r>
              <w:rPr>
                <w:b w:val="false"/>
                <w:bCs w:val="false"/>
                <w:color w:val="1A1A1A"/>
              </w:rPr>
              <w:t xml:space="preserve">Empresa Fornecedora</w:t>
            </w:r>
          </w:p>
        </w:tc>
        <w:tc>
          <w:tcPr>
            <w:tcW w:type="dxa" w:w="5000"/>
            <w:tcMar>
              <w:top w:type="dxa" w:w="80"/>
              <w:left w:type="dxa" w:w="120"/>
              <w:bottom w:type="dxa" w:w="80"/>
              <w:right w:type="dxa" w:w="120"/>
            </w:tcMar>
            <w:vAlign w:val="center"/>
          </w:tcPr>
          <w:p>
            <w:pPr>
              <w:jc w:val="left"/>
            </w:pPr>
            <w:r>
              <w:rPr>
                <w:b w:val="false"/>
                <w:bCs w:val="false"/>
                <w:color w:val="1A1A1A"/>
              </w:rPr>
              <w:t xml:space="preserve">Gere o catálogo (produtos/serviços), stock, responde a cotações, aceita/recusa e despacha ordens de compra, emite notas de crédito.</w:t>
            </w:r>
          </w:p>
        </w:tc>
      </w:tr>
      <w:tr>
        <w:tc>
          <w:tcPr>
            <w:tcW w:type="dxa" w:w="2400"/>
            <w:shd w:fill="F4F1EA" w:val="clear"/>
            <w:tcMar>
              <w:top w:type="dxa" w:w="80"/>
              <w:left w:type="dxa" w:w="120"/>
              <w:bottom w:type="dxa" w:w="80"/>
              <w:right w:type="dxa" w:w="120"/>
            </w:tcMar>
            <w:vAlign w:val="center"/>
          </w:tcPr>
          <w:p>
            <w:pPr>
              <w:jc w:val="left"/>
            </w:pPr>
            <w:r>
              <w:rPr>
                <w:b w:val="false"/>
                <w:bCs w:val="false"/>
                <w:color w:val="1A1A1A"/>
              </w:rPr>
              <w:t xml:space="preserve">Financeiro</w:t>
            </w:r>
          </w:p>
        </w:tc>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Empresa Cliente ou Fornecedora</w:t>
            </w:r>
          </w:p>
        </w:tc>
        <w:tc>
          <w:tcPr>
            <w:tcW w:type="dxa" w:w="5000"/>
            <w:shd w:fill="F4F1EA" w:val="clear"/>
            <w:tcMar>
              <w:top w:type="dxa" w:w="80"/>
              <w:left w:type="dxa" w:w="120"/>
              <w:bottom w:type="dxa" w:w="80"/>
              <w:right w:type="dxa" w:w="120"/>
            </w:tcMar>
            <w:vAlign w:val="center"/>
          </w:tcPr>
          <w:p>
            <w:pPr>
              <w:jc w:val="left"/>
            </w:pPr>
            <w:r>
              <w:rPr>
                <w:b w:val="false"/>
                <w:bCs w:val="false"/>
                <w:color w:val="1A1A1A"/>
              </w:rPr>
              <w:t xml:space="preserve">Processa pagamentos, acompanha faturas e o histórico financeiro, reconcilia extratos bancários.</w:t>
            </w:r>
          </w:p>
        </w:tc>
      </w:tr>
      <w:tr>
        <w:tc>
          <w:tcPr>
            <w:tcW w:type="dxa" w:w="2400"/>
            <w:tcMar>
              <w:top w:type="dxa" w:w="80"/>
              <w:left w:type="dxa" w:w="120"/>
              <w:bottom w:type="dxa" w:w="80"/>
              <w:right w:type="dxa" w:w="120"/>
            </w:tcMar>
            <w:vAlign w:val="center"/>
          </w:tcPr>
          <w:p>
            <w:pPr>
              <w:jc w:val="left"/>
            </w:pPr>
            <w:r>
              <w:rPr>
                <w:b w:val="false"/>
                <w:bCs w:val="false"/>
                <w:color w:val="1A1A1A"/>
              </w:rPr>
              <w:t xml:space="preserve">Administrador do Sistema</w:t>
            </w:r>
            <w:r>
              <w:rPr>
                <w:b w:val="false"/>
                <w:bCs w:val="false"/>
                <w:color w:val="1A1A1A"/>
              </w:rPr>
              <w:br/>
              <w:t xml:space="preserve">(ADMIN_SISTEMA)</w:t>
            </w:r>
          </w:p>
        </w:tc>
        <w:tc>
          <w:tcPr>
            <w:tcW w:type="dxa" w:w="2600"/>
            <w:tcMar>
              <w:top w:type="dxa" w:w="80"/>
              <w:left w:type="dxa" w:w="120"/>
              <w:bottom w:type="dxa" w:w="80"/>
              <w:right w:type="dxa" w:w="120"/>
            </w:tcMar>
            <w:vAlign w:val="center"/>
          </w:tcPr>
          <w:p>
            <w:pPr>
              <w:jc w:val="left"/>
            </w:pPr>
            <w:r>
              <w:rPr>
                <w:b w:val="false"/>
                <w:bCs w:val="false"/>
                <w:color w:val="1A1A1A"/>
              </w:rPr>
              <w:t xml:space="preserve">KIXIMA (nenhuma empresa)</w:t>
            </w:r>
          </w:p>
        </w:tc>
        <w:tc>
          <w:tcPr>
            <w:tcW w:type="dxa" w:w="5000"/>
            <w:tcMar>
              <w:top w:type="dxa" w:w="80"/>
              <w:left w:type="dxa" w:w="120"/>
              <w:bottom w:type="dxa" w:w="80"/>
              <w:right w:type="dxa" w:w="120"/>
            </w:tcMar>
            <w:vAlign w:val="center"/>
          </w:tcPr>
          <w:p>
            <w:pPr>
              <w:jc w:val="left"/>
            </w:pPr>
            <w:r>
              <w:rPr>
                <w:b w:val="false"/>
                <w:bCs w:val="false"/>
                <w:color w:val="1A1A1A"/>
              </w:rPr>
              <w:t xml:space="preserve">Aprova o cadastro de empresas, administra apólices, faturação certificada, planos e subscrições, suporte e segurança da plataforma.</w:t>
            </w:r>
          </w:p>
        </w:tc>
      </w:tr>
    </w:tbl>
    <w:p>
      <w:pPr>
        <w:spacing w:after="200" w:before="100"/>
      </w:pPr>
      <w:r>
        <w:rPr>
          <w:i/>
          <w:iCs/>
          <w:color w:val="5B5B5B"/>
        </w:rPr>
        <w:t xml:space="preserve">Nota: cada empresa escolhe, ao convidar um colaborador, qual destes perfis atribuir — ver secção 3.3. Uma empresa Cliente só pode ter colaboradores Comprador ou Financeiro (além do seu Administrador); uma empresa Fornecedora pode ter colaboradores Comprador, Fornecedor ou Financeiro.</w:t>
      </w:r>
    </w:p>
    <w:p>
      <w:pPr>
        <w:pStyle w:val="Heading2"/>
        <w:spacing w:after="160" w:before="300"/>
      </w:pPr>
      <w:r>
        <w:t xml:space="preserve">2.1 O Administrador do Sistema por área</w:t>
      </w:r>
    </w:p>
    <w:p>
      <w:pPr>
        <w:spacing w:after="160"/>
      </w:pPr>
      <w:r>
        <w:t xml:space="preserve">Dentro da KIXIMA, nem todos os administradores têm acesso a tudo. O acesso é dividido em seis áreas fechadas; uma conta sem nenhuma área atribuída é um "Super Admin" e acede a tudo — é essa a exceção, não a regra.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Área</w:t>
            </w:r>
          </w:p>
        </w:tc>
        <w:tc>
          <w:tcPr>
            <w:tcW w:type="dxa" w:w="7400"/>
            <w:shd w:fill="1B2A4A" w:val="clear"/>
            <w:tcMar>
              <w:top w:type="dxa" w:w="80"/>
              <w:left w:type="dxa" w:w="120"/>
              <w:bottom w:type="dxa" w:w="80"/>
              <w:right w:type="dxa" w:w="120"/>
            </w:tcMar>
            <w:vAlign w:val="center"/>
          </w:tcPr>
          <w:p>
            <w:pPr>
              <w:jc w:val="left"/>
            </w:pPr>
            <w:r>
              <w:rPr>
                <w:b/>
                <w:bCs/>
                <w:color w:val="FFFFFF"/>
              </w:rPr>
              <w:t xml:space="preserve">O que abrange</w:t>
            </w:r>
          </w:p>
        </w:tc>
      </w:tr>
      <w:tr>
        <w:tc>
          <w:tcPr>
            <w:tcW w:type="dxa" w:w="2600"/>
            <w:tcMar>
              <w:top w:type="dxa" w:w="80"/>
              <w:left w:type="dxa" w:w="120"/>
              <w:bottom w:type="dxa" w:w="80"/>
              <w:right w:type="dxa" w:w="120"/>
            </w:tcMar>
            <w:vAlign w:val="center"/>
          </w:tcPr>
          <w:p>
            <w:pPr>
              <w:jc w:val="left"/>
            </w:pPr>
            <w:r>
              <w:rPr>
                <w:b w:val="false"/>
                <w:bCs w:val="false"/>
                <w:color w:val="1A1A1A"/>
              </w:rPr>
              <w:t xml:space="preserve">Cadastro &amp; Empresas</w:t>
            </w:r>
          </w:p>
        </w:tc>
        <w:tc>
          <w:tcPr>
            <w:tcW w:type="dxa" w:w="7400"/>
            <w:tcMar>
              <w:top w:type="dxa" w:w="80"/>
              <w:left w:type="dxa" w:w="120"/>
              <w:bottom w:type="dxa" w:w="80"/>
              <w:right w:type="dxa" w:w="120"/>
            </w:tcMar>
            <w:vAlign w:val="center"/>
          </w:tcPr>
          <w:p>
            <w:pPr>
              <w:jc w:val="left"/>
            </w:pPr>
            <w:r>
              <w:rPr>
                <w:b w:val="false"/>
                <w:bCs w:val="false"/>
                <w:color w:val="1A1A1A"/>
              </w:rPr>
              <w:t xml:space="preserve">Due diligence, aprovação/rejeição de empresas, gestão de planos, integrações ERP, contratos-quadro.</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Financeiro</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Fila de confirmação de subscrições, taxa da plataforma, conciliação bancária.</w:t>
            </w:r>
          </w:p>
        </w:tc>
      </w:tr>
      <w:tr>
        <w:tc>
          <w:tcPr>
            <w:tcW w:type="dxa" w:w="2600"/>
            <w:tcMar>
              <w:top w:type="dxa" w:w="80"/>
              <w:left w:type="dxa" w:w="120"/>
              <w:bottom w:type="dxa" w:w="80"/>
              <w:right w:type="dxa" w:w="120"/>
            </w:tcMar>
            <w:vAlign w:val="center"/>
          </w:tcPr>
          <w:p>
            <w:pPr>
              <w:jc w:val="left"/>
            </w:pPr>
            <w:r>
              <w:rPr>
                <w:b w:val="false"/>
                <w:bCs w:val="false"/>
                <w:color w:val="1A1A1A"/>
              </w:rPr>
              <w:t xml:space="preserve">Faturação (AGT)</w:t>
            </w:r>
          </w:p>
        </w:tc>
        <w:tc>
          <w:tcPr>
            <w:tcW w:type="dxa" w:w="7400"/>
            <w:tcMar>
              <w:top w:type="dxa" w:w="80"/>
              <w:left w:type="dxa" w:w="120"/>
              <w:bottom w:type="dxa" w:w="80"/>
              <w:right w:type="dxa" w:w="120"/>
            </w:tcMar>
            <w:vAlign w:val="center"/>
          </w:tcPr>
          <w:p>
            <w:pPr>
              <w:jc w:val="left"/>
            </w:pPr>
            <w:r>
              <w:rPr>
                <w:b w:val="false"/>
                <w:bCs w:val="false"/>
                <w:color w:val="1A1A1A"/>
              </w:rPr>
              <w:t xml:space="preserve">Série fiscal por fornecedor, integridade da cadeia de faturas, notas de crédito, data de adesão à faturação eletrónica.</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Apólices</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Aprovação da apólice Fornecedor→KIXIMA, emissão da apólice KIXIMA→Cliente.</w:t>
            </w:r>
          </w:p>
        </w:tc>
      </w:tr>
      <w:tr>
        <w:tc>
          <w:tcPr>
            <w:tcW w:type="dxa" w:w="2600"/>
            <w:tcMar>
              <w:top w:type="dxa" w:w="80"/>
              <w:left w:type="dxa" w:w="120"/>
              <w:bottom w:type="dxa" w:w="80"/>
              <w:right w:type="dxa" w:w="120"/>
            </w:tcMar>
            <w:vAlign w:val="center"/>
          </w:tcPr>
          <w:p>
            <w:pPr>
              <w:jc w:val="left"/>
            </w:pPr>
            <w:r>
              <w:rPr>
                <w:b w:val="false"/>
                <w:bCs w:val="false"/>
                <w:color w:val="1A1A1A"/>
              </w:rPr>
              <w:t xml:space="preserve">Suporte</w:t>
            </w:r>
          </w:p>
        </w:tc>
        <w:tc>
          <w:tcPr>
            <w:tcW w:type="dxa" w:w="7400"/>
            <w:tcMar>
              <w:top w:type="dxa" w:w="80"/>
              <w:left w:type="dxa" w:w="120"/>
              <w:bottom w:type="dxa" w:w="80"/>
              <w:right w:type="dxa" w:w="120"/>
            </w:tcMar>
            <w:vAlign w:val="center"/>
          </w:tcPr>
          <w:p>
            <w:pPr>
              <w:jc w:val="left"/>
            </w:pPr>
            <w:r>
              <w:rPr>
                <w:b w:val="false"/>
                <w:bCs w:val="false"/>
                <w:color w:val="1A1A1A"/>
              </w:rPr>
              <w:t xml:space="preserve">Chat de suporte, alertas de segurança (Trust &amp; Safety), desenvolvimento de fornecedores, moderação de avaliações.</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Operação da Plataforma</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Gestão de atividades/notificações, prontidão para produção, lembretes de 2FA.</w:t>
            </w:r>
          </w:p>
        </w:tc>
      </w:tr>
    </w:tbl>
    <w:p>
      <w:pPr>
        <w:spacing w:after="160"/>
      </w:pPr>
      <w:r>
        <w:t xml:space="preserve">Duas áreas de gestão — Permissões e Administradores do Sistema — estão reservadas ao Super Admin: só quem já tem acesso total pode decidir quem mais entra e com que áreas.</w:t>
      </w:r>
    </w:p>
    <w:p>
      <w:pPr>
        <w:pStyle w:val="Heading1"/>
        <w:pageBreakBefore/>
        <w:spacing w:after="240"/>
      </w:pPr>
      <w:r>
        <w:t xml:space="preserve">3. Primeiros Passos</w:t>
      </w:r>
    </w:p>
    <w:p>
      <w:pPr>
        <w:pStyle w:val="Heading2"/>
        <w:spacing w:after="160" w:before="300"/>
      </w:pPr>
      <w:r>
        <w:t xml:space="preserve">3.1 Cadastro de uma empresa</w:t>
      </w:r>
    </w:p>
    <w:p>
      <w:pPr>
        <w:spacing w:after="160"/>
      </w:pPr>
      <w:r>
        <w:t xml:space="preserve">Qualquer empresa se regista publicamente em "Registar", escolhendo se é Cliente (compradora) ou Fornecedora. O primeiro utilizador registado torna-se automaticamente o Administrador da Empresa. A empresa nasce no estado PENDENTE e só pode operar depois de aprovada — ver secção 3.2.</w:t>
      </w:r>
    </w:p>
    <w:p>
      <w:pPr>
        <w:spacing w:after="160"/>
      </w:pPr>
      <w:r>
        <w:t xml:space="preserve">Documentos exigidos no cadastro, por tipo de empresa: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B2A4A" w:val="clear"/>
            <w:tcMar>
              <w:top w:type="dxa" w:w="80"/>
              <w:left w:type="dxa" w:w="120"/>
              <w:bottom w:type="dxa" w:w="80"/>
              <w:right w:type="dxa" w:w="120"/>
            </w:tcMar>
            <w:vAlign w:val="center"/>
          </w:tcPr>
          <w:p>
            <w:pPr>
              <w:jc w:val="left"/>
            </w:pPr>
            <w:r>
              <w:rPr>
                <w:b/>
                <w:bCs/>
                <w:color w:val="FFFFFF"/>
              </w:rPr>
              <w:t xml:space="preserve">Tipo de empresa</w:t>
            </w:r>
          </w:p>
        </w:tc>
        <w:tc>
          <w:tcPr>
            <w:tcW w:type="dxa" w:w="7000"/>
            <w:shd w:fill="1B2A4A" w:val="clear"/>
            <w:tcMar>
              <w:top w:type="dxa" w:w="80"/>
              <w:left w:type="dxa" w:w="120"/>
              <w:bottom w:type="dxa" w:w="80"/>
              <w:right w:type="dxa" w:w="120"/>
            </w:tcMar>
            <w:vAlign w:val="center"/>
          </w:tcPr>
          <w:p>
            <w:pPr>
              <w:jc w:val="left"/>
            </w:pPr>
            <w:r>
              <w:rPr>
                <w:b/>
                <w:bCs/>
                <w:color w:val="FFFFFF"/>
              </w:rPr>
              <w:t xml:space="preserve">Documentos obrigatórios</w:t>
            </w:r>
          </w:p>
        </w:tc>
      </w:tr>
      <w:tr>
        <w:tc>
          <w:tcPr>
            <w:tcW w:type="dxa" w:w="3000"/>
            <w:tcMar>
              <w:top w:type="dxa" w:w="80"/>
              <w:left w:type="dxa" w:w="120"/>
              <w:bottom w:type="dxa" w:w="80"/>
              <w:right w:type="dxa" w:w="120"/>
            </w:tcMar>
            <w:vAlign w:val="center"/>
          </w:tcPr>
          <w:p>
            <w:pPr>
              <w:jc w:val="left"/>
            </w:pPr>
            <w:r>
              <w:rPr>
                <w:b w:val="false"/>
                <w:bCs w:val="false"/>
                <w:color w:val="1A1A1A"/>
              </w:rPr>
              <w:t xml:space="preserve">Cliente</w:t>
            </w:r>
          </w:p>
        </w:tc>
        <w:tc>
          <w:tcPr>
            <w:tcW w:type="dxa" w:w="7000"/>
            <w:tcMar>
              <w:top w:type="dxa" w:w="80"/>
              <w:left w:type="dxa" w:w="120"/>
              <w:bottom w:type="dxa" w:w="80"/>
              <w:right w:type="dxa" w:w="120"/>
            </w:tcMar>
            <w:vAlign w:val="center"/>
          </w:tcPr>
          <w:p>
            <w:pPr>
              <w:jc w:val="left"/>
            </w:pPr>
            <w:r>
              <w:rPr>
                <w:b w:val="false"/>
                <w:bCs w:val="false"/>
                <w:color w:val="1A1A1A"/>
              </w:rPr>
              <w:t xml:space="preserve">Certidão comercial, Alvará comercial</w:t>
            </w:r>
          </w:p>
        </w:tc>
      </w:tr>
      <w:tr>
        <w:tc>
          <w:tcPr>
            <w:tcW w:type="dxa" w:w="3000"/>
            <w:shd w:fill="F4F1EA" w:val="clear"/>
            <w:tcMar>
              <w:top w:type="dxa" w:w="80"/>
              <w:left w:type="dxa" w:w="120"/>
              <w:bottom w:type="dxa" w:w="80"/>
              <w:right w:type="dxa" w:w="120"/>
            </w:tcMar>
            <w:vAlign w:val="center"/>
          </w:tcPr>
          <w:p>
            <w:pPr>
              <w:jc w:val="left"/>
            </w:pPr>
            <w:r>
              <w:rPr>
                <w:b w:val="false"/>
                <w:bCs w:val="false"/>
                <w:color w:val="1A1A1A"/>
              </w:rPr>
              <w:t xml:space="preserve">Fornecedora</w:t>
            </w:r>
          </w:p>
        </w:tc>
        <w:tc>
          <w:tcPr>
            <w:tcW w:type="dxa" w:w="7000"/>
            <w:shd w:fill="F4F1EA" w:val="clear"/>
            <w:tcMar>
              <w:top w:type="dxa" w:w="80"/>
              <w:left w:type="dxa" w:w="120"/>
              <w:bottom w:type="dxa" w:w="80"/>
              <w:right w:type="dxa" w:w="120"/>
            </w:tcMar>
            <w:vAlign w:val="center"/>
          </w:tcPr>
          <w:p>
            <w:pPr>
              <w:jc w:val="left"/>
            </w:pPr>
            <w:r>
              <w:rPr>
                <w:b w:val="false"/>
                <w:bCs w:val="false"/>
                <w:color w:val="1A1A1A"/>
              </w:rPr>
              <w:t xml:space="preserve">Alvará comercial, Licença ANPG, Certidão comercial, e submissão da apólice Fornecedor→KIXIMA</w:t>
            </w:r>
          </w:p>
        </w:tc>
      </w:tr>
    </w:tbl>
    <w:p>
      <w:pPr>
        <w:spacing w:after="160"/>
      </w:pPr>
      <w:r>
        <w:t xml:space="preserve">No próprio cadastro, a empresa declara a sua dimensão (número de trabalhadores e volume de negócios); a plataforma classifica-a automaticamente segundo o critério legal angolano (Lei n.º 30/11) em Micro, Pequena, Média ou Grande, e isso determina qual o plano mínimo elegível — uma empresa Grande é obrigada ao plano PRO (capítulo 13).</w:t>
      </w:r>
    </w:p>
    <w:p>
      <w:pPr>
        <w:pBdr>
          <w:left w:val="single" w:color="B8862E" w:sz="24"/>
        </w:pBdr>
        <w:shd w:fill="F4F1EA" w:val="clear"/>
        <w:spacing w:after="200" w:before="80"/>
      </w:pPr>
      <w:r>
        <w:rPr>
          <w:b/>
          <w:bCs/>
          <w:color w:val="1B2A4A"/>
        </w:rPr>
        <w:t xml:space="preserve">Quem faz isto: </w:t>
      </w:r>
      <w:r>
        <w:t xml:space="preserve">quem regista é o futuro Administrador da Empresa; quem aprova é o Admin do Sistema (área Cadastro &amp; Empresas).</w:t>
      </w:r>
    </w:p>
    <w:p>
      <w:pPr>
        <w:pStyle w:val="Heading2"/>
        <w:spacing w:after="160" w:before="300"/>
      </w:pPr>
      <w:r>
        <w:t xml:space="preserve">3.2 Aprovação da empresa (due diligence)</w:t>
      </w:r>
    </w:p>
    <w:p>
      <w:pPr>
        <w:spacing w:after="160"/>
      </w:pPr>
      <w:r>
        <w:t xml:space="preserve">Uma empresa em estado PENDENTE não consegue publicar catálogo, pedir cotações nem emitir ordens de compra. O Admin do Sistema revê os documentos submetidos em Cadastro &amp; Empresas → Cadastro de Empresas / Due Diligence, e decide: APROVADA ou REJEITADA (com motivo).</w:t>
      </w:r>
    </w:p>
    <w:p>
      <w:pPr>
        <w:spacing w:after="160"/>
      </w:pPr>
      <w:r>
        <w:t xml:space="preserve">Uma condição adicional aplica-se só a empresas Fornecedoras: não podem ser aprovadas sem terem submetido a apólice Fornecedor→KIXIMA — é uma condição de credenciamento, não uma formalidade.</w:t>
      </w:r>
    </w:p>
    <w:p>
      <w:pPr>
        <w:spacing w:after="200" w:before="100"/>
      </w:pPr>
      <w:r>
        <w:rPr>
          <w:i/>
          <w:iCs/>
          <w:color w:val="5B5B5B"/>
        </w:rPr>
        <w:t xml:space="preserve">Nota: uma empresa pode ainda ficar SUSPENSA depois de aprovada, por decisão administrativa — nesse estado deixa de poder operar até ser reativada.</w:t>
      </w:r>
    </w:p>
    <w:p>
      <w:pPr>
        <w:pStyle w:val="Heading2"/>
        <w:spacing w:after="160" w:before="300"/>
      </w:pPr>
      <w:r>
        <w:t xml:space="preserve">3.3 Convite de colaboradores</w:t>
      </w:r>
    </w:p>
    <w:p>
      <w:pPr>
        <w:spacing w:after="160"/>
      </w:pPr>
      <w:r>
        <w:t xml:space="preserve">Depois de aprovada, o Administrador da Empresa convida colegas em Usuários &amp; Perfis, escolhendo o nome, o email e o perfil (Comprador, Fornecedor ou Financeiro, conforme o tipo de empresa — secção 2). O convidado recebe um email com uma hiperligação válida por 7 dias, onde define a sua senha.</w:t>
      </w:r>
    </w:p>
    <w:p>
      <w:pPr>
        <w:spacing w:after="160"/>
      </w:pPr>
      <w:r>
        <w:t xml:space="preserve">Uma conta recém-aceite nasce inativa; o Administrador da Empresa tem ainda de a ativar. Convites podem ser reenviados (renova o prazo) ou cancelados enquanto pendentes.</w:t>
      </w:r>
    </w:p>
    <w:p>
      <w:pPr>
        <w:pBdr>
          <w:left w:val="single" w:color="B8862E" w:sz="24"/>
        </w:pBdr>
        <w:shd w:fill="F4F1EA" w:val="clear"/>
        <w:spacing w:after="200" w:before="80"/>
      </w:pPr>
      <w:r>
        <w:rPr>
          <w:b/>
          <w:bCs/>
          <w:color w:val="1B2A4A"/>
        </w:rPr>
        <w:t xml:space="preserve">Quem faz isto: </w:t>
      </w:r>
      <w:r>
        <w:t xml:space="preserve">o Administrador da Empresa cria, reenvia, cancela e ativa; o convidado só aceita e define a senha.</w:t>
      </w:r>
    </w:p>
    <w:p>
      <w:pPr>
        <w:pStyle w:val="Heading2"/>
        <w:spacing w:after="160" w:before="300"/>
      </w:pPr>
      <w:r>
        <w:t xml:space="preserve">3.4 Entrar na plataforma, recuperar senha e autenticação de dois fatores</w:t>
      </w:r>
    </w:p>
    <w:p>
      <w:pPr>
        <w:spacing w:after="160"/>
      </w:pPr>
      <w:r>
        <w:t xml:space="preserve">O acesso é por email e senha em "Entrar". Existe recuperação de senha por email para quem a esquecer.</w:t>
      </w:r>
    </w:p>
    <w:p>
      <w:pPr>
        <w:spacing w:after="160"/>
      </w:pPr>
      <w:r>
        <w:t xml:space="preserve">Contas de Administrador da Empresa e de Admin do Sistema são obrigadas a ativar a autenticação de dois fatores (2FA) — por código enviado por email, ou por aplicação autenticadora (TOTP). Até uma data-limite definida pela KIXIMA, quem ainda não a ativou entra normalmente e vê apenas um aviso; a partir dessa data, quem não a tiver ativado passa a ter sessão restrita — só consegue aceder ao próprio ecrã de ativação da 2FA, e a mais nada, até a ativar.</w:t>
      </w:r>
    </w:p>
    <w:p>
      <w:pPr>
        <w:spacing w:after="160"/>
      </w:pPr>
      <w:r>
        <w:t xml:space="preserve">Por segurança, uma conta que erre a senha várias vezes seguidas fica temporariamente bloqueada (o tempo de bloqueio aumenta a cada nova série de tentativas erradas) — nunca permanentemente.</w:t>
      </w:r>
    </w:p>
    <w:p>
      <w:pPr>
        <w:pStyle w:val="Heading1"/>
        <w:pageBreakBefore/>
        <w:spacing w:after="240"/>
      </w:pPr>
      <w:r>
        <w:t xml:space="preserve">4. Navegação por Persona</w:t>
      </w:r>
    </w:p>
    <w:p>
      <w:pPr>
        <w:spacing w:after="160"/>
      </w:pPr>
      <w:r>
        <w:t xml:space="preserve">Este capítulo é uma referência rápida: o que cada persona encontra no seu menu lateral ao entrar na plataforma. Todas as personas têm ainda, em comum, acesso a Notificações, Perfil, Segurança, Ajuda, Chat de Suporte, Feedback e Chat Comercial.</w:t>
      </w:r>
    </w:p>
    <w:p>
      <w:pPr>
        <w:pStyle w:val="Heading2"/>
        <w:spacing w:after="160" w:before="300"/>
      </w:pPr>
      <w:r>
        <w:t xml:space="preserve">4.1 Comprador</w:t>
      </w:r>
    </w:p>
    <w:p>
      <w:pPr>
        <w:pStyle w:val="ListParagraph"/>
        <w:numPr>
          <w:ilvl w:val="0"/>
          <w:numId w:val="2"/>
        </w:numPr>
        <w:spacing w:after="80"/>
      </w:pPr>
      <w:r>
        <w:t xml:space="preserve">Home / Explorar o marketplace</w:t>
      </w:r>
    </w:p>
    <w:p>
      <w:pPr>
        <w:pStyle w:val="ListParagraph"/>
        <w:numPr>
          <w:ilvl w:val="0"/>
          <w:numId w:val="2"/>
        </w:numPr>
        <w:spacing w:after="80"/>
      </w:pPr>
      <w:r>
        <w:t xml:space="preserve">Catálogo (Produtos e Serviços)</w:t>
      </w:r>
    </w:p>
    <w:p>
      <w:pPr>
        <w:pStyle w:val="ListParagraph"/>
        <w:numPr>
          <w:ilvl w:val="0"/>
          <w:numId w:val="2"/>
        </w:numPr>
        <w:spacing w:after="80"/>
      </w:pPr>
      <w:r>
        <w:t xml:space="preserve">Minha Cesta e Checkout</w:t>
      </w:r>
    </w:p>
    <w:p>
      <w:pPr>
        <w:pStyle w:val="ListParagraph"/>
        <w:numPr>
          <w:ilvl w:val="0"/>
          <w:numId w:val="2"/>
        </w:numPr>
        <w:spacing w:after="80"/>
      </w:pPr>
      <w:r>
        <w:t xml:space="preserve">Ordens de Compra — Todas, Acompanhar Entrega, Receção</w:t>
      </w:r>
    </w:p>
    <w:p>
      <w:pPr>
        <w:pStyle w:val="ListParagraph"/>
        <w:numPr>
          <w:ilvl w:val="0"/>
          <w:numId w:val="2"/>
        </w:numPr>
        <w:spacing w:after="80"/>
      </w:pPr>
      <w:r>
        <w:t xml:space="preserve">Pagamento</w:t>
      </w:r>
    </w:p>
    <w:p>
      <w:pPr>
        <w:pStyle w:val="ListParagraph"/>
        <w:numPr>
          <w:ilvl w:val="0"/>
          <w:numId w:val="2"/>
        </w:numPr>
        <w:spacing w:after="80"/>
      </w:pPr>
      <w:r>
        <w:t xml:space="preserve">Fornecedores (comparar fornecedores)</w:t>
      </w:r>
    </w:p>
    <w:p>
      <w:pPr>
        <w:pStyle w:val="ListParagraph"/>
        <w:numPr>
          <w:ilvl w:val="0"/>
          <w:numId w:val="2"/>
        </w:numPr>
        <w:spacing w:after="80"/>
      </w:pPr>
      <w:r>
        <w:t xml:space="preserve">Cotações (pedir/consultar)</w:t>
      </w:r>
    </w:p>
    <w:p>
      <w:pPr>
        <w:pStyle w:val="ListParagraph"/>
        <w:numPr>
          <w:ilvl w:val="0"/>
          <w:numId w:val="2"/>
        </w:numPr>
        <w:spacing w:after="80"/>
      </w:pPr>
      <w:r>
        <w:t xml:space="preserve">Atividades e Perfil</w:t>
      </w:r>
    </w:p>
    <w:p>
      <w:pPr>
        <w:pStyle w:val="Heading2"/>
        <w:spacing w:after="160" w:before="300"/>
      </w:pPr>
      <w:r>
        <w:t xml:space="preserve">4.2 Administrador da Empresa</w:t>
      </w:r>
    </w:p>
    <w:p>
      <w:pPr>
        <w:pStyle w:val="ListParagraph"/>
        <w:numPr>
          <w:ilvl w:val="0"/>
          <w:numId w:val="2"/>
        </w:numPr>
        <w:spacing w:after="80"/>
      </w:pPr>
      <w:r>
        <w:t xml:space="preserve">Painel da Empresa</w:t>
      </w:r>
    </w:p>
    <w:p>
      <w:pPr>
        <w:pStyle w:val="ListParagraph"/>
        <w:numPr>
          <w:ilvl w:val="0"/>
          <w:numId w:val="2"/>
        </w:numPr>
        <w:spacing w:after="80"/>
      </w:pPr>
      <w:r>
        <w:t xml:space="preserve">Usuários &amp; Perfis (convidar/gerir colaboradores)</w:t>
      </w:r>
    </w:p>
    <w:p>
      <w:pPr>
        <w:pStyle w:val="ListParagraph"/>
        <w:numPr>
          <w:ilvl w:val="0"/>
          <w:numId w:val="2"/>
        </w:numPr>
        <w:spacing w:after="80"/>
      </w:pPr>
      <w:r>
        <w:t xml:space="preserve">Permissões</w:t>
      </w:r>
    </w:p>
    <w:p>
      <w:pPr>
        <w:pStyle w:val="ListParagraph"/>
        <w:numPr>
          <w:ilvl w:val="0"/>
          <w:numId w:val="2"/>
        </w:numPr>
        <w:spacing w:after="80"/>
      </w:pPr>
      <w:r>
        <w:t xml:space="preserve">Perfil da Empresa e Documentos da Empresa</w:t>
      </w:r>
    </w:p>
    <w:p>
      <w:pPr>
        <w:pStyle w:val="ListParagraph"/>
        <w:numPr>
          <w:ilvl w:val="0"/>
          <w:numId w:val="2"/>
        </w:numPr>
        <w:spacing w:after="80"/>
      </w:pPr>
      <w:r>
        <w:t xml:space="preserve">Aprovações de Ordens de Compra</w:t>
      </w:r>
    </w:p>
    <w:p>
      <w:pPr>
        <w:pStyle w:val="ListParagraph"/>
        <w:numPr>
          <w:ilvl w:val="0"/>
          <w:numId w:val="2"/>
        </w:numPr>
        <w:spacing w:after="80"/>
      </w:pPr>
      <w:r>
        <w:t xml:space="preserve">Contratos</w:t>
      </w:r>
    </w:p>
    <w:p>
      <w:pPr>
        <w:pStyle w:val="ListParagraph"/>
        <w:numPr>
          <w:ilvl w:val="0"/>
          <w:numId w:val="2"/>
        </w:numPr>
        <w:spacing w:after="80"/>
      </w:pPr>
      <w:r>
        <w:t xml:space="preserve">Relatórios e Conteúdo Local</w:t>
      </w:r>
    </w:p>
    <w:p>
      <w:pPr>
        <w:pStyle w:val="ListParagraph"/>
        <w:numPr>
          <w:ilvl w:val="0"/>
          <w:numId w:val="2"/>
        </w:numPr>
        <w:spacing w:after="80"/>
      </w:pPr>
      <w:r>
        <w:t xml:space="preserve">Subscrição (plano e pagamento)</w:t>
      </w:r>
    </w:p>
    <w:p>
      <w:pPr>
        <w:pStyle w:val="ListParagraph"/>
        <w:numPr>
          <w:ilvl w:val="0"/>
          <w:numId w:val="2"/>
        </w:numPr>
        <w:spacing w:after="80"/>
      </w:pPr>
      <w:r>
        <w:t xml:space="preserve">Atividades e Configurações</w:t>
      </w:r>
    </w:p>
    <w:p>
      <w:pPr>
        <w:pStyle w:val="Heading2"/>
        <w:spacing w:after="160" w:before="300"/>
      </w:pPr>
      <w:r>
        <w:t xml:space="preserve">4.3 Fornecedor</w:t>
      </w:r>
    </w:p>
    <w:p>
      <w:pPr>
        <w:pStyle w:val="ListParagraph"/>
        <w:numPr>
          <w:ilvl w:val="0"/>
          <w:numId w:val="2"/>
        </w:numPr>
        <w:spacing w:after="80"/>
      </w:pPr>
      <w:r>
        <w:t xml:space="preserve">Painel — atalhos para Catálogo, Ordens, Faturas</w:t>
      </w:r>
    </w:p>
    <w:p>
      <w:pPr>
        <w:pStyle w:val="ListParagraph"/>
        <w:numPr>
          <w:ilvl w:val="0"/>
          <w:numId w:val="2"/>
        </w:numPr>
        <w:spacing w:after="80"/>
      </w:pPr>
      <w:r>
        <w:t xml:space="preserve">Catálogo: Produtos &amp; Serviços, Importar via Excel, API de Catálogo, Categorias, Marcas, Kits, Promoções</w:t>
      </w:r>
    </w:p>
    <w:p>
      <w:pPr>
        <w:pStyle w:val="ListParagraph"/>
        <w:numPr>
          <w:ilvl w:val="0"/>
          <w:numId w:val="2"/>
        </w:numPr>
        <w:spacing w:after="80"/>
      </w:pPr>
      <w:r>
        <w:t xml:space="preserve">Inventário: Stock, Entradas, Saídas, Armazéns</w:t>
      </w:r>
    </w:p>
    <w:p>
      <w:pPr>
        <w:pStyle w:val="ListParagraph"/>
        <w:numPr>
          <w:ilvl w:val="0"/>
          <w:numId w:val="2"/>
        </w:numPr>
        <w:spacing w:after="80"/>
      </w:pPr>
      <w:r>
        <w:t xml:space="preserve">Pedidos: Solicitações/Cotações, Ordens, Histórico</w:t>
      </w:r>
    </w:p>
    <w:p>
      <w:pPr>
        <w:pStyle w:val="ListParagraph"/>
        <w:numPr>
          <w:ilvl w:val="0"/>
          <w:numId w:val="2"/>
        </w:numPr>
        <w:spacing w:after="80"/>
      </w:pPr>
      <w:r>
        <w:t xml:space="preserve">Financeiro: Pagamentos, Faturas, Carteira</w:t>
      </w:r>
    </w:p>
    <w:p>
      <w:pPr>
        <w:pStyle w:val="ListParagraph"/>
        <w:numPr>
          <w:ilvl w:val="0"/>
          <w:numId w:val="2"/>
        </w:numPr>
        <w:spacing w:after="80"/>
      </w:pPr>
      <w:r>
        <w:t xml:space="preserve">Documentação: Certificados de Produto, Catálogos em PDF, Fichas Técnicas</w:t>
      </w:r>
    </w:p>
    <w:p>
      <w:pPr>
        <w:pStyle w:val="ListParagraph"/>
        <w:numPr>
          <w:ilvl w:val="0"/>
          <w:numId w:val="2"/>
        </w:numPr>
        <w:spacing w:after="80"/>
      </w:pPr>
      <w:r>
        <w:t xml:space="preserve">Relatórios: mais vistos/vendidos, Estatísticas</w:t>
      </w:r>
    </w:p>
    <w:p>
      <w:pPr>
        <w:pStyle w:val="ListParagraph"/>
        <w:numPr>
          <w:ilvl w:val="0"/>
          <w:numId w:val="2"/>
        </w:numPr>
        <w:spacing w:after="80"/>
      </w:pPr>
      <w:r>
        <w:t xml:space="preserve">Configurações: Perfil, Segurança, Notificações</w:t>
      </w:r>
    </w:p>
    <w:p>
      <w:pPr>
        <w:pStyle w:val="Heading2"/>
        <w:spacing w:after="160" w:before="300"/>
      </w:pPr>
      <w:r>
        <w:t xml:space="preserve">4.4 Financeiro</w:t>
      </w:r>
    </w:p>
    <w:p>
      <w:pPr>
        <w:spacing w:after="160"/>
      </w:pPr>
      <w:r>
        <w:t xml:space="preserve">O menu muda ligeiramente consoante o Financeiro trabalhe numa empresa Cliente ou Fornecedora: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1B2A4A" w:val="clear"/>
            <w:tcMar>
              <w:top w:type="dxa" w:w="80"/>
              <w:left w:type="dxa" w:w="120"/>
              <w:bottom w:type="dxa" w:w="80"/>
              <w:right w:type="dxa" w:w="120"/>
            </w:tcMar>
            <w:vAlign w:val="center"/>
          </w:tcPr>
          <w:p>
            <w:pPr>
              <w:jc w:val="left"/>
            </w:pPr>
            <w:r>
              <w:rPr>
                <w:b/>
                <w:bCs/>
                <w:color w:val="FFFFFF"/>
              </w:rPr>
              <w:t xml:space="preserve">Empresa Cliente</w:t>
            </w:r>
          </w:p>
        </w:tc>
        <w:tc>
          <w:tcPr>
            <w:tcW w:type="dxa" w:w="5000"/>
            <w:shd w:fill="1B2A4A" w:val="clear"/>
            <w:tcMar>
              <w:top w:type="dxa" w:w="80"/>
              <w:left w:type="dxa" w:w="120"/>
              <w:bottom w:type="dxa" w:w="80"/>
              <w:right w:type="dxa" w:w="120"/>
            </w:tcMar>
            <w:vAlign w:val="center"/>
          </w:tcPr>
          <w:p>
            <w:pPr>
              <w:jc w:val="left"/>
            </w:pPr>
            <w:r>
              <w:rPr>
                <w:b/>
                <w:bCs/>
                <w:color w:val="FFFFFF"/>
              </w:rPr>
              <w:t xml:space="preserve">Empresa Fornecedora</w:t>
            </w:r>
          </w:p>
        </w:tc>
      </w:tr>
      <w:tr>
        <w:tc>
          <w:tcPr>
            <w:tcW w:type="dxa" w:w="5000"/>
            <w:tcMar>
              <w:top w:type="dxa" w:w="80"/>
              <w:left w:type="dxa" w:w="120"/>
              <w:bottom w:type="dxa" w:w="80"/>
              <w:right w:type="dxa" w:w="120"/>
            </w:tcMar>
            <w:vAlign w:val="center"/>
          </w:tcPr>
          <w:p>
            <w:pPr>
              <w:jc w:val="left"/>
            </w:pPr>
            <w:r>
              <w:rPr>
                <w:b w:val="false"/>
                <w:bCs w:val="false"/>
                <w:color w:val="1A1A1A"/>
              </w:rPr>
              <w:t xml:space="preserve">Centro Financeiro</w:t>
            </w:r>
          </w:p>
        </w:tc>
        <w:tc>
          <w:tcPr>
            <w:tcW w:type="dxa" w:w="5000"/>
            <w:tcMar>
              <w:top w:type="dxa" w:w="80"/>
              <w:left w:type="dxa" w:w="120"/>
              <w:bottom w:type="dxa" w:w="80"/>
              <w:right w:type="dxa" w:w="120"/>
            </w:tcMar>
            <w:vAlign w:val="center"/>
          </w:tcPr>
          <w:p>
            <w:pPr>
              <w:jc w:val="left"/>
            </w:pPr>
            <w:r>
              <w:rPr>
                <w:b w:val="false"/>
                <w:bCs w:val="false"/>
                <w:color w:val="1A1A1A"/>
              </w:rPr>
              <w:t xml:space="preserve">Centro Financeiro</w:t>
            </w:r>
          </w:p>
        </w:tc>
      </w:tr>
      <w:tr>
        <w:tc>
          <w:tcPr>
            <w:tcW w:type="dxa" w:w="5000"/>
            <w:shd w:fill="F4F1EA" w:val="clear"/>
            <w:tcMar>
              <w:top w:type="dxa" w:w="80"/>
              <w:left w:type="dxa" w:w="120"/>
              <w:bottom w:type="dxa" w:w="80"/>
              <w:right w:type="dxa" w:w="120"/>
            </w:tcMar>
            <w:vAlign w:val="center"/>
          </w:tcPr>
          <w:p>
            <w:pPr>
              <w:jc w:val="left"/>
            </w:pPr>
            <w:r>
              <w:rPr>
                <w:b w:val="false"/>
                <w:bCs w:val="false"/>
                <w:color w:val="1A1A1A"/>
              </w:rPr>
              <w:t xml:space="preserve">Faturas (a pagar)</w:t>
            </w:r>
          </w:p>
        </w:tc>
        <w:tc>
          <w:tcPr>
            <w:tcW w:type="dxa" w:w="5000"/>
            <w:shd w:fill="F4F1EA" w:val="clear"/>
            <w:tcMar>
              <w:top w:type="dxa" w:w="80"/>
              <w:left w:type="dxa" w:w="120"/>
              <w:bottom w:type="dxa" w:w="80"/>
              <w:right w:type="dxa" w:w="120"/>
            </w:tcMar>
            <w:vAlign w:val="center"/>
          </w:tcPr>
          <w:p>
            <w:pPr>
              <w:jc w:val="left"/>
            </w:pPr>
            <w:r>
              <w:rPr>
                <w:b w:val="false"/>
                <w:bCs w:val="false"/>
                <w:color w:val="1A1A1A"/>
              </w:rPr>
              <w:t xml:space="preserve">Faturas a Pagar</w:t>
            </w:r>
          </w:p>
        </w:tc>
      </w:tr>
      <w:tr>
        <w:tc>
          <w:tcPr>
            <w:tcW w:type="dxa" w:w="5000"/>
            <w:tcMar>
              <w:top w:type="dxa" w:w="80"/>
              <w:left w:type="dxa" w:w="120"/>
              <w:bottom w:type="dxa" w:w="80"/>
              <w:right w:type="dxa" w:w="120"/>
            </w:tcMar>
            <w:vAlign w:val="center"/>
          </w:tcPr>
          <w:p>
            <w:pPr>
              <w:jc w:val="left"/>
            </w:pPr>
            <w:r>
              <w:rPr>
                <w:b w:val="false"/>
                <w:bCs w:val="false"/>
                <w:color w:val="1A1A1A"/>
              </w:rPr>
              <w:t xml:space="preserve">Pagamentos (histórico)</w:t>
            </w:r>
          </w:p>
        </w:tc>
        <w:tc>
          <w:tcPr>
            <w:tcW w:type="dxa" w:w="5000"/>
            <w:tcMar>
              <w:top w:type="dxa" w:w="80"/>
              <w:left w:type="dxa" w:w="120"/>
              <w:bottom w:type="dxa" w:w="80"/>
              <w:right w:type="dxa" w:w="120"/>
            </w:tcMar>
            <w:vAlign w:val="center"/>
          </w:tcPr>
          <w:p>
            <w:pPr>
              <w:jc w:val="left"/>
            </w:pPr>
            <w:r>
              <w:rPr>
                <w:b w:val="false"/>
                <w:bCs w:val="false"/>
                <w:color w:val="1A1A1A"/>
              </w:rPr>
              <w:t xml:space="preserve">Pagamentos Recebidos</w:t>
            </w:r>
          </w:p>
        </w:tc>
      </w:tr>
      <w:tr>
        <w:tc>
          <w:tcPr>
            <w:tcW w:type="dxa" w:w="5000"/>
            <w:shd w:fill="F4F1EA" w:val="clear"/>
            <w:tcMar>
              <w:top w:type="dxa" w:w="80"/>
              <w:left w:type="dxa" w:w="120"/>
              <w:bottom w:type="dxa" w:w="80"/>
              <w:right w:type="dxa" w:w="120"/>
            </w:tcMar>
            <w:vAlign w:val="center"/>
          </w:tcPr>
          <w:p>
            <w:pPr>
              <w:jc w:val="left"/>
            </w:pPr>
            <w:r>
              <w:rPr>
                <w:b w:val="false"/>
                <w:bCs w:val="false"/>
                <w:color w:val="1A1A1A"/>
              </w:rPr>
              <w:t xml:space="preserve">Subscrição</w:t>
            </w:r>
          </w:p>
        </w:tc>
        <w:tc>
          <w:tcPr>
            <w:tcW w:type="dxa" w:w="5000"/>
            <w:shd w:fill="F4F1EA" w:val="clear"/>
            <w:tcMar>
              <w:top w:type="dxa" w:w="80"/>
              <w:left w:type="dxa" w:w="120"/>
              <w:bottom w:type="dxa" w:w="80"/>
              <w:right w:type="dxa" w:w="120"/>
            </w:tcMar>
            <w:vAlign w:val="center"/>
          </w:tcPr>
          <w:p>
            <w:pPr>
              <w:jc w:val="left"/>
            </w:pPr>
            <w:r>
              <w:rPr>
                <w:b w:val="false"/>
                <w:bCs w:val="false"/>
                <w:color w:val="1A1A1A"/>
              </w:rPr>
              <w:t xml:space="preserve">Pagamentos Feitos / Subscrição</w:t>
            </w:r>
          </w:p>
        </w:tc>
      </w:tr>
    </w:tbl>
    <w:p>
      <w:pPr>
        <w:pStyle w:val="Heading2"/>
        <w:spacing w:after="160" w:before="300"/>
      </w:pPr>
      <w:r>
        <w:t xml:space="preserve">4.5 Administrador do Sistema</w:t>
      </w:r>
    </w:p>
    <w:p>
      <w:pPr>
        <w:spacing w:after="160"/>
      </w:pPr>
      <w:r>
        <w:t xml:space="preserve">O menu do Admin do Sistema é filtrado pelas áreas atribuídas à sua conta (capítulo 2.1). Um Super Admin vê tudo o que se segue; quem tem áreas limitadas só vê os grupos correspondentes.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Área</w:t>
            </w:r>
          </w:p>
        </w:tc>
        <w:tc>
          <w:tcPr>
            <w:tcW w:type="dxa" w:w="7400"/>
            <w:shd w:fill="1B2A4A" w:val="clear"/>
            <w:tcMar>
              <w:top w:type="dxa" w:w="80"/>
              <w:left w:type="dxa" w:w="120"/>
              <w:bottom w:type="dxa" w:w="80"/>
              <w:right w:type="dxa" w:w="120"/>
            </w:tcMar>
            <w:vAlign w:val="center"/>
          </w:tcPr>
          <w:p>
            <w:pPr>
              <w:jc w:val="left"/>
            </w:pPr>
            <w:r>
              <w:rPr>
                <w:b/>
                <w:bCs/>
                <w:color w:val="FFFFFF"/>
              </w:rPr>
              <w:t xml:space="preserve">O que aparece no menu</w:t>
            </w:r>
          </w:p>
        </w:tc>
      </w:tr>
      <w:tr>
        <w:tc>
          <w:tcPr>
            <w:tcW w:type="dxa" w:w="2600"/>
            <w:tcMar>
              <w:top w:type="dxa" w:w="80"/>
              <w:left w:type="dxa" w:w="120"/>
              <w:bottom w:type="dxa" w:w="80"/>
              <w:right w:type="dxa" w:w="120"/>
            </w:tcMar>
            <w:vAlign w:val="center"/>
          </w:tcPr>
          <w:p>
            <w:pPr>
              <w:jc w:val="left"/>
            </w:pPr>
            <w:r>
              <w:rPr>
                <w:b w:val="false"/>
                <w:bCs w:val="false"/>
                <w:color w:val="1A1A1A"/>
              </w:rPr>
              <w:t xml:space="preserve">Cadastro &amp; Empresas</w:t>
            </w:r>
          </w:p>
        </w:tc>
        <w:tc>
          <w:tcPr>
            <w:tcW w:type="dxa" w:w="7400"/>
            <w:tcMar>
              <w:top w:type="dxa" w:w="80"/>
              <w:left w:type="dxa" w:w="120"/>
              <w:bottom w:type="dxa" w:w="80"/>
              <w:right w:type="dxa" w:w="120"/>
            </w:tcMar>
            <w:vAlign w:val="center"/>
          </w:tcPr>
          <w:p>
            <w:pPr>
              <w:jc w:val="left"/>
            </w:pPr>
            <w:r>
              <w:rPr>
                <w:b w:val="false"/>
                <w:bCs w:val="false"/>
                <w:color w:val="1A1A1A"/>
              </w:rPr>
              <w:t xml:space="preserve">Cadastro de Empresas / Due Diligence, Empresas, Integrações ERP, Contratos-Quadro, Planos e Subscrições</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Financeiro</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Taxa KIXIMA, Cobranças de Subscrição</w:t>
            </w:r>
          </w:p>
        </w:tc>
      </w:tr>
      <w:tr>
        <w:tc>
          <w:tcPr>
            <w:tcW w:type="dxa" w:w="2600"/>
            <w:tcMar>
              <w:top w:type="dxa" w:w="80"/>
              <w:left w:type="dxa" w:w="120"/>
              <w:bottom w:type="dxa" w:w="80"/>
              <w:right w:type="dxa" w:w="120"/>
            </w:tcMar>
            <w:vAlign w:val="center"/>
          </w:tcPr>
          <w:p>
            <w:pPr>
              <w:jc w:val="left"/>
            </w:pPr>
            <w:r>
              <w:rPr>
                <w:b w:val="false"/>
                <w:bCs w:val="false"/>
                <w:color w:val="1A1A1A"/>
              </w:rPr>
              <w:t xml:space="preserve">Apólices</w:t>
            </w:r>
          </w:p>
        </w:tc>
        <w:tc>
          <w:tcPr>
            <w:tcW w:type="dxa" w:w="7400"/>
            <w:tcMar>
              <w:top w:type="dxa" w:w="80"/>
              <w:left w:type="dxa" w:w="120"/>
              <w:bottom w:type="dxa" w:w="80"/>
              <w:right w:type="dxa" w:w="120"/>
            </w:tcMar>
            <w:vAlign w:val="center"/>
          </w:tcPr>
          <w:p>
            <w:pPr>
              <w:jc w:val="left"/>
            </w:pPr>
            <w:r>
              <w:rPr>
                <w:b w:val="false"/>
                <w:bCs w:val="false"/>
                <w:color w:val="1A1A1A"/>
              </w:rPr>
              <w:t xml:space="preserve">Gestão de Apólices</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Suporte</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Supplier Development, Chat de Suporte, Alertas de Segurança, Avaliações</w:t>
            </w:r>
          </w:p>
        </w:tc>
      </w:tr>
      <w:tr>
        <w:tc>
          <w:tcPr>
            <w:tcW w:type="dxa" w:w="2600"/>
            <w:tcMar>
              <w:top w:type="dxa" w:w="80"/>
              <w:left w:type="dxa" w:w="120"/>
              <w:bottom w:type="dxa" w:w="80"/>
              <w:right w:type="dxa" w:w="120"/>
            </w:tcMar>
            <w:vAlign w:val="center"/>
          </w:tcPr>
          <w:p>
            <w:pPr>
              <w:jc w:val="left"/>
            </w:pPr>
            <w:r>
              <w:rPr>
                <w:b w:val="false"/>
                <w:bCs w:val="false"/>
                <w:color w:val="1A1A1A"/>
              </w:rPr>
              <w:t xml:space="preserve">Operação da Plataforma</w:t>
            </w:r>
          </w:p>
        </w:tc>
        <w:tc>
          <w:tcPr>
            <w:tcW w:type="dxa" w:w="7400"/>
            <w:tcMar>
              <w:top w:type="dxa" w:w="80"/>
              <w:left w:type="dxa" w:w="120"/>
              <w:bottom w:type="dxa" w:w="80"/>
              <w:right w:type="dxa" w:w="120"/>
            </w:tcMar>
            <w:vAlign w:val="center"/>
          </w:tcPr>
          <w:p>
            <w:pPr>
              <w:jc w:val="left"/>
            </w:pPr>
            <w:r>
              <w:rPr>
                <w:b w:val="false"/>
                <w:bCs w:val="false"/>
                <w:color w:val="1A1A1A"/>
              </w:rPr>
              <w:t xml:space="preserve">Gestão de Atividades, Prontidão para Produção</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(sempre visível)</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Painel do Sistema, Auditoria</w:t>
            </w:r>
          </w:p>
        </w:tc>
      </w:tr>
      <w:tr>
        <w:tc>
          <w:tcPr>
            <w:tcW w:type="dxa" w:w="2600"/>
            <w:tcMar>
              <w:top w:type="dxa" w:w="80"/>
              <w:left w:type="dxa" w:w="120"/>
              <w:bottom w:type="dxa" w:w="80"/>
              <w:right w:type="dxa" w:w="120"/>
            </w:tcMar>
            <w:vAlign w:val="center"/>
          </w:tcPr>
          <w:p>
            <w:pPr>
              <w:jc w:val="left"/>
            </w:pPr>
            <w:r>
              <w:rPr>
                <w:b w:val="false"/>
                <w:bCs w:val="false"/>
                <w:color w:val="1A1A1A"/>
              </w:rPr>
              <w:t xml:space="preserve">Super Admin apenas</w:t>
            </w:r>
          </w:p>
        </w:tc>
        <w:tc>
          <w:tcPr>
            <w:tcW w:type="dxa" w:w="7400"/>
            <w:tcMar>
              <w:top w:type="dxa" w:w="80"/>
              <w:left w:type="dxa" w:w="120"/>
              <w:bottom w:type="dxa" w:w="80"/>
              <w:right w:type="dxa" w:w="120"/>
            </w:tcMar>
            <w:vAlign w:val="center"/>
          </w:tcPr>
          <w:p>
            <w:pPr>
              <w:jc w:val="left"/>
            </w:pPr>
            <w:r>
              <w:rPr>
                <w:b w:val="false"/>
                <w:bCs w:val="false"/>
                <w:color w:val="1A1A1A"/>
              </w:rPr>
              <w:t xml:space="preserve">Permissões, Administradores do Sistema</w:t>
            </w:r>
          </w:p>
        </w:tc>
      </w:tr>
    </w:tbl>
    <w:p>
      <w:pPr>
        <w:pStyle w:val="Heading1"/>
        <w:pageBreakBefore/>
        <w:spacing w:after="240"/>
      </w:pPr>
      <w:r>
        <w:t xml:space="preserve">5. Catálogo</w:t>
      </w:r>
    </w:p>
    <w:p>
      <w:pPr>
        <w:spacing w:after="160"/>
      </w:pPr>
      <w:r>
        <w:t xml:space="preserve">O catálogo é onde o Fornecedor publica o que vende — produtos físicos ou serviços — e onde o Comprador os descobre e compara.</w:t>
      </w:r>
    </w:p>
    <w:p>
      <w:pPr>
        <w:pStyle w:val="Heading2"/>
        <w:spacing w:after="160" w:before="300"/>
      </w:pPr>
      <w:r>
        <w:t xml:space="preserve">5.1 Produtos e serviços</w:t>
      </w:r>
    </w:p>
    <w:p>
      <w:pPr>
        <w:spacing w:after="160"/>
      </w:pPr>
      <w:r>
        <w:t xml:space="preserve">O Fornecedor cria cada item com nome, categoria, marca, preço, imagens e, opcionalmente, documentos técnicos (ficha técnica, datasheet, manual, catálogo, certificado, desenho técnico). Um item pode ser do tipo Produto ou Serviço.</w:t>
      </w:r>
    </w:p>
    <w:p>
      <w:pPr>
        <w:spacing w:after="160"/>
      </w:pPr>
      <w:r>
        <w:t xml:space="preserve">Quantas imagens e documentos cada item pode ter depende do plano da empresa fornecedora (capítulo 13) — os planos mais altos permitem catálogos mais ricos em mídia, nunca mais itens no total.</w:t>
      </w:r>
    </w:p>
    <w:p>
      <w:pPr>
        <w:pBdr>
          <w:left w:val="single" w:color="B8862E" w:sz="24"/>
        </w:pBdr>
        <w:shd w:fill="F4F1EA" w:val="clear"/>
        <w:spacing w:after="200" w:before="80"/>
      </w:pPr>
      <w:r>
        <w:rPr>
          <w:b/>
          <w:bCs/>
          <w:color w:val="1B2A4A"/>
        </w:rPr>
        <w:t xml:space="preserve">Quem faz isto: </w:t>
      </w:r>
      <w:r>
        <w:t xml:space="preserve">o Fornecedor (ou o Administrador da sua empresa) cria e mantém o catálogo.</w:t>
      </w:r>
    </w:p>
    <w:p>
      <w:pPr>
        <w:pStyle w:val="Heading2"/>
        <w:spacing w:after="160" w:before="300"/>
      </w:pPr>
      <w:r>
        <w:t xml:space="preserve">5.2 Stock e movimentos</w:t>
      </w:r>
    </w:p>
    <w:p>
      <w:pPr>
        <w:spacing w:after="160"/>
      </w:pPr>
      <w:r>
        <w:t xml:space="preserve">Cada produto tem uma quantidade em stock. O Fornecedor regista Entradas (reposição) e Saídas (venda, quebra) — cada movimento fica registado individualmente, nunca só como um número final ajustado.</w:t>
      </w:r>
    </w:p>
    <w:p>
      <w:pPr>
        <w:pStyle w:val="Heading2"/>
        <w:spacing w:after="160" w:before="300"/>
      </w:pPr>
      <w:r>
        <w:t xml:space="preserve">5.3 Importação em massa</w:t>
      </w:r>
    </w:p>
    <w:p>
      <w:pPr>
        <w:spacing w:after="160"/>
      </w:pPr>
      <w:r>
        <w:t xml:space="preserve">Fornecedores com plano PRO podem carregar o catálogo inteiro de uma vez, a partir de uma folha Excel (.xlsx) com uma folha chamada "Catálogo" — incluindo imagens embutidas na própria folha. A importação é idempotente: correr o mesmo ficheiro duas vezes atualiza os itens existentes (identificados pelo nome/código), nunca duplica.</w:t>
      </w:r>
    </w:p>
    <w:p>
      <w:pPr>
        <w:spacing w:after="200" w:before="100"/>
      </w:pPr>
      <w:r>
        <w:rPr>
          <w:i/>
          <w:iCs/>
          <w:color w:val="5B5B5B"/>
        </w:rPr>
        <w:t xml:space="preserve">Nota: a importação em massa é uma funcionalidade do plano PRO — não está disponível nos planos BASE ou CORE.</w:t>
      </w:r>
    </w:p>
    <w:p>
      <w:pPr>
        <w:pStyle w:val="Heading2"/>
        <w:spacing w:after="160" w:before="300"/>
      </w:pPr>
      <w:r>
        <w:t xml:space="preserve">5.4 Kits</w:t>
      </w:r>
    </w:p>
    <w:p>
      <w:pPr>
        <w:spacing w:after="160"/>
      </w:pPr>
      <w:r>
        <w:t xml:space="preserve">Um Kit agrupa vários produtos para venda conjunta (por exemplo, um conjunto de peças de manutenção). Disponível a partir do plano CORE.</w:t>
      </w:r>
    </w:p>
    <w:p>
      <w:pPr>
        <w:pStyle w:val="Heading2"/>
        <w:spacing w:after="160" w:before="300"/>
      </w:pPr>
      <w:r>
        <w:t xml:space="preserve">5.5 Avaliações de produto</w:t>
      </w:r>
    </w:p>
    <w:p>
      <w:pPr>
        <w:spacing w:after="160"/>
      </w:pPr>
      <w:r>
        <w:t xml:space="preserve">Depois de receber uma encomenda, o Comprador pode avaliar o produto (uma avaliação por produto e por comprador). A média de avaliações é visível a todos.</w:t>
      </w:r>
    </w:p>
    <w:p>
      <w:pPr>
        <w:pStyle w:val="Heading1"/>
        <w:pageBreakBefore/>
        <w:spacing w:after="240"/>
      </w:pPr>
      <w:r>
        <w:t xml:space="preserve">6. Cotações (Pedidos de Preço)</w:t>
      </w:r>
    </w:p>
    <w:p>
      <w:pPr>
        <w:spacing w:after="160"/>
      </w:pPr>
      <w:r>
        <w:t xml:space="preserve">Uma cotação (RFQ — "Request for Quotation") é como o Comprador pergunta a um Fornecedor específico o preço e o prazo de entrega de um conjunto de itens, antes de se comprometer com uma ordem de compra.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2200"/>
      </w:tblGrid>
      <w:tr>
        <w:trPr>
          <w:tblHeader/>
        </w:trPr>
        <w:tc>
          <w:tcPr>
            <w:tcW w:type="dxa" w:w="2200"/>
            <w:shd w:fill="1B2A4A" w:val="clear"/>
            <w:tcMar>
              <w:top w:type="dxa" w:w="80"/>
              <w:left w:type="dxa" w:w="120"/>
              <w:bottom w:type="dxa" w:w="80"/>
              <w:right w:type="dxa" w:w="120"/>
            </w:tcMar>
            <w:vAlign w:val="center"/>
          </w:tcPr>
          <w:p>
            <w:pPr>
              <w:jc w:val="left"/>
            </w:pPr>
            <w:r>
              <w:rPr>
                <w:b/>
                <w:bCs/>
                <w:color w:val="FFFFFF"/>
              </w:rPr>
              <w:t xml:space="preserve">Estado</w:t>
            </w:r>
          </w:p>
        </w:tc>
        <w:tc>
          <w:tcPr>
            <w:tcW w:type="dxa" w:w="5600"/>
            <w:shd w:fill="1B2A4A" w:val="clear"/>
            <w:tcMar>
              <w:top w:type="dxa" w:w="80"/>
              <w:left w:type="dxa" w:w="120"/>
              <w:bottom w:type="dxa" w:w="80"/>
              <w:right w:type="dxa" w:w="120"/>
            </w:tcMar>
            <w:vAlign w:val="center"/>
          </w:tcPr>
          <w:p>
            <w:pPr>
              <w:jc w:val="left"/>
            </w:pPr>
            <w:r>
              <w:rPr>
                <w:b/>
                <w:bCs/>
                <w:color w:val="FFFFFF"/>
              </w:rPr>
              <w:t xml:space="preserve">O que significa</w:t>
            </w:r>
          </w:p>
        </w:tc>
        <w:tc>
          <w:tcPr>
            <w:tcW w:type="dxa" w:w="2200"/>
            <w:shd w:fill="1B2A4A" w:val="clear"/>
            <w:tcMar>
              <w:top w:type="dxa" w:w="80"/>
              <w:left w:type="dxa" w:w="120"/>
              <w:bottom w:type="dxa" w:w="80"/>
              <w:right w:type="dxa" w:w="120"/>
            </w:tcMar>
            <w:vAlign w:val="center"/>
          </w:tcPr>
          <w:p>
            <w:pPr>
              <w:jc w:val="left"/>
            </w:pPr>
            <w:r>
              <w:rPr>
                <w:b/>
                <w:bCs/>
                <w:color w:val="FFFFFF"/>
              </w:rPr>
              <w:t xml:space="preserve">Quem o provoca</w:t>
            </w:r>
          </w:p>
        </w:tc>
      </w:tr>
      <w:tr>
        <w:tc>
          <w:tcPr>
            <w:tcW w:type="dxa" w:w="2200"/>
            <w:tcMar>
              <w:top w:type="dxa" w:w="80"/>
              <w:left w:type="dxa" w:w="120"/>
              <w:bottom w:type="dxa" w:w="80"/>
              <w:right w:type="dxa" w:w="120"/>
            </w:tcMar>
            <w:vAlign w:val="center"/>
          </w:tcPr>
          <w:p>
            <w:pPr>
              <w:jc w:val="left"/>
            </w:pPr>
            <w:r>
              <w:rPr>
                <w:b w:val="false"/>
                <w:bCs w:val="false"/>
                <w:color w:val="1A1A1A"/>
              </w:rPr>
              <w:t xml:space="preserve">Aberta</w:t>
            </w:r>
          </w:p>
        </w:tc>
        <w:tc>
          <w:tcPr>
            <w:tcW w:type="dxa" w:w="5600"/>
            <w:tcMar>
              <w:top w:type="dxa" w:w="80"/>
              <w:left w:type="dxa" w:w="120"/>
              <w:bottom w:type="dxa" w:w="80"/>
              <w:right w:type="dxa" w:w="120"/>
            </w:tcMar>
            <w:vAlign w:val="center"/>
          </w:tcPr>
          <w:p>
            <w:pPr>
              <w:jc w:val="left"/>
            </w:pPr>
            <w:r>
              <w:rPr>
                <w:b w:val="false"/>
                <w:bCs w:val="false"/>
                <w:color w:val="1A1A1A"/>
              </w:rPr>
              <w:t xml:space="preserve">O comprador enviou o pedido; aguarda resposta do fornecedor.</w:t>
            </w:r>
          </w:p>
        </w:tc>
        <w:tc>
          <w:tcPr>
            <w:tcW w:type="dxa" w:w="2200"/>
            <w:tcMar>
              <w:top w:type="dxa" w:w="80"/>
              <w:left w:type="dxa" w:w="120"/>
              <w:bottom w:type="dxa" w:w="80"/>
              <w:right w:type="dxa" w:w="120"/>
            </w:tcMar>
            <w:vAlign w:val="center"/>
          </w:tcPr>
          <w:p>
            <w:pPr>
              <w:jc w:val="left"/>
            </w:pPr>
            <w:r>
              <w:rPr>
                <w:b w:val="false"/>
                <w:bCs w:val="false"/>
                <w:color w:val="1A1A1A"/>
              </w:rPr>
              <w:t xml:space="preserve">Comprador</w:t>
            </w:r>
          </w:p>
        </w:tc>
      </w:tr>
      <w:tr>
        <w:tc>
          <w:tcPr>
            <w:tcW w:type="dxa" w:w="2200"/>
            <w:shd w:fill="F4F1EA" w:val="clear"/>
            <w:tcMar>
              <w:top w:type="dxa" w:w="80"/>
              <w:left w:type="dxa" w:w="120"/>
              <w:bottom w:type="dxa" w:w="80"/>
              <w:right w:type="dxa" w:w="120"/>
            </w:tcMar>
            <w:vAlign w:val="center"/>
          </w:tcPr>
          <w:p>
            <w:pPr>
              <w:jc w:val="left"/>
            </w:pPr>
            <w:r>
              <w:rPr>
                <w:b w:val="false"/>
                <w:bCs w:val="false"/>
                <w:color w:val="1A1A1A"/>
              </w:rPr>
              <w:t xml:space="preserve">Respondida</w:t>
            </w:r>
          </w:p>
        </w:tc>
        <w:tc>
          <w:tcPr>
            <w:tcW w:type="dxa" w:w="5600"/>
            <w:shd w:fill="F4F1EA" w:val="clear"/>
            <w:tcMar>
              <w:top w:type="dxa" w:w="80"/>
              <w:left w:type="dxa" w:w="120"/>
              <w:bottom w:type="dxa" w:w="80"/>
              <w:right w:type="dxa" w:w="120"/>
            </w:tcMar>
            <w:vAlign w:val="center"/>
          </w:tcPr>
          <w:p>
            <w:pPr>
              <w:jc w:val="left"/>
            </w:pPr>
            <w:r>
              <w:rPr>
                <w:b w:val="false"/>
                <w:bCs w:val="false"/>
                <w:color w:val="1A1A1A"/>
              </w:rPr>
              <w:t xml:space="preserve">O fornecedor indicou preço, prazo e uma nota por item.</w:t>
            </w:r>
          </w:p>
        </w:tc>
        <w:tc>
          <w:tcPr>
            <w:tcW w:type="dxa" w:w="2200"/>
            <w:shd w:fill="F4F1EA" w:val="clear"/>
            <w:tcMar>
              <w:top w:type="dxa" w:w="80"/>
              <w:left w:type="dxa" w:w="120"/>
              <w:bottom w:type="dxa" w:w="80"/>
              <w:right w:type="dxa" w:w="120"/>
            </w:tcMar>
            <w:vAlign w:val="center"/>
          </w:tcPr>
          <w:p>
            <w:pPr>
              <w:jc w:val="left"/>
            </w:pPr>
            <w:r>
              <w:rPr>
                <w:b w:val="false"/>
                <w:bCs w:val="false"/>
                <w:color w:val="1A1A1A"/>
              </w:rPr>
              <w:t xml:space="preserve">Fornecedor / Administrador da Empresa fornecedora</w:t>
            </w:r>
          </w:p>
        </w:tc>
      </w:tr>
      <w:tr>
        <w:tc>
          <w:tcPr>
            <w:tcW w:type="dxa" w:w="2200"/>
            <w:tcMar>
              <w:top w:type="dxa" w:w="80"/>
              <w:left w:type="dxa" w:w="120"/>
              <w:bottom w:type="dxa" w:w="80"/>
              <w:right w:type="dxa" w:w="120"/>
            </w:tcMar>
            <w:vAlign w:val="center"/>
          </w:tcPr>
          <w:p>
            <w:pPr>
              <w:jc w:val="left"/>
            </w:pPr>
            <w:r>
              <w:rPr>
                <w:b w:val="false"/>
                <w:bCs w:val="false"/>
                <w:color w:val="1A1A1A"/>
              </w:rPr>
              <w:t xml:space="preserve">Fechada</w:t>
            </w:r>
          </w:p>
        </w:tc>
        <w:tc>
          <w:tcPr>
            <w:tcW w:type="dxa" w:w="5600"/>
            <w:tcMar>
              <w:top w:type="dxa" w:w="80"/>
              <w:left w:type="dxa" w:w="120"/>
              <w:bottom w:type="dxa" w:w="80"/>
              <w:right w:type="dxa" w:w="120"/>
            </w:tcMar>
            <w:vAlign w:val="center"/>
          </w:tcPr>
          <w:p>
            <w:pPr>
              <w:jc w:val="left"/>
            </w:pPr>
            <w:r>
              <w:rPr>
                <w:b w:val="false"/>
                <w:bCs w:val="false"/>
                <w:color w:val="1A1A1A"/>
              </w:rPr>
              <w:t xml:space="preserve">O comprador encerrou o pedido (seguiu com a compra, ou desistiu).</w:t>
            </w:r>
          </w:p>
        </w:tc>
        <w:tc>
          <w:tcPr>
            <w:tcW w:type="dxa" w:w="2200"/>
            <w:tcMar>
              <w:top w:type="dxa" w:w="80"/>
              <w:left w:type="dxa" w:w="120"/>
              <w:bottom w:type="dxa" w:w="80"/>
              <w:right w:type="dxa" w:w="120"/>
            </w:tcMar>
            <w:vAlign w:val="center"/>
          </w:tcPr>
          <w:p>
            <w:pPr>
              <w:jc w:val="left"/>
            </w:pPr>
            <w:r>
              <w:rPr>
                <w:b w:val="false"/>
                <w:bCs w:val="false"/>
                <w:color w:val="1A1A1A"/>
              </w:rPr>
              <w:t xml:space="preserve">Comprador</w:t>
            </w:r>
          </w:p>
        </w:tc>
      </w:tr>
    </w:tbl>
    <w:p>
      <w:pPr>
        <w:spacing w:after="200" w:before="100"/>
      </w:pPr>
      <w:r>
        <w:rPr>
          <w:i/>
          <w:iCs/>
          <w:color w:val="5B5B5B"/>
        </w:rPr>
        <w:t xml:space="preserve">Nota: o número de cotações que uma empresa pode pedir por mês depende do seu plano (capítulo 13).</w:t>
      </w:r>
    </w:p>
    <w:p>
      <w:pPr>
        <w:pStyle w:val="Heading1"/>
        <w:pageBreakBefore/>
        <w:spacing w:after="240"/>
      </w:pPr>
      <w:r>
        <w:t xml:space="preserve">7. Ordens de Compra</w:t>
      </w:r>
    </w:p>
    <w:p>
      <w:pPr>
        <w:spacing w:after="160"/>
      </w:pPr>
      <w:r>
        <w:t xml:space="preserve">A ordem de compra (PO — "Purchase Order") é o coração da plataforma: nasce do checkout do Comprador e percorre um ciclo de estados até à entrega e ao pagamento. Cada mudança de estado fica registada na auditoria e gera uma notificação às pessoas envolvidas.</w:t>
      </w:r>
    </w:p>
    <w:p>
      <w:pPr>
        <w:pStyle w:val="Heading2"/>
        <w:spacing w:after="160" w:before="300"/>
      </w:pPr>
      <w:r>
        <w:t xml:space="preserve">7.1 O ciclo normal</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gridCol w:w="24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Estado</w:t>
            </w:r>
          </w:p>
        </w:tc>
        <w:tc>
          <w:tcPr>
            <w:tcW w:type="dxa" w:w="6000"/>
            <w:shd w:fill="1B2A4A" w:val="clear"/>
            <w:tcMar>
              <w:top w:type="dxa" w:w="80"/>
              <w:left w:type="dxa" w:w="120"/>
              <w:bottom w:type="dxa" w:w="80"/>
              <w:right w:type="dxa" w:w="120"/>
            </w:tcMar>
            <w:vAlign w:val="center"/>
          </w:tcPr>
          <w:p>
            <w:pPr>
              <w:jc w:val="left"/>
            </w:pPr>
            <w:r>
              <w:rPr>
                <w:b/>
                <w:bCs/>
                <w:color w:val="FFFFFF"/>
              </w:rPr>
              <w:t xml:space="preserve">O que acontece</w:t>
            </w:r>
          </w:p>
        </w:tc>
        <w:tc>
          <w:tcPr>
            <w:tcW w:type="dxa" w:w="2400"/>
            <w:shd w:fill="1B2A4A" w:val="clear"/>
            <w:tcMar>
              <w:top w:type="dxa" w:w="80"/>
              <w:left w:type="dxa" w:w="120"/>
              <w:bottom w:type="dxa" w:w="80"/>
              <w:right w:type="dxa" w:w="120"/>
            </w:tcMar>
            <w:vAlign w:val="center"/>
          </w:tcPr>
          <w:p>
            <w:pPr>
              <w:jc w:val="left"/>
            </w:pPr>
            <w:r>
              <w:rPr>
                <w:b/>
                <w:bCs/>
                <w:color w:val="FFFFFF"/>
              </w:rPr>
              <w:t xml:space="preserve">Quem faz</w:t>
            </w:r>
          </w:p>
        </w:tc>
      </w:tr>
      <w:tr>
        <w:tc>
          <w:tcPr>
            <w:tcW w:type="dxa" w:w="2600"/>
            <w:tcMar>
              <w:top w:type="dxa" w:w="80"/>
              <w:left w:type="dxa" w:w="120"/>
              <w:bottom w:type="dxa" w:w="80"/>
              <w:right w:type="dxa" w:w="120"/>
            </w:tcMar>
            <w:vAlign w:val="center"/>
          </w:tcPr>
          <w:p>
            <w:pPr>
              <w:jc w:val="left"/>
            </w:pPr>
            <w:r>
              <w:rPr>
                <w:b w:val="false"/>
                <w:bCs w:val="false"/>
                <w:color w:val="1A1A1A"/>
              </w:rPr>
              <w:t xml:space="preserve">Aguardando Aprovação</w:t>
            </w:r>
          </w:p>
        </w:tc>
        <w:tc>
          <w:tcPr>
            <w:tcW w:type="dxa" w:w="6000"/>
            <w:tcMar>
              <w:top w:type="dxa" w:w="80"/>
              <w:left w:type="dxa" w:w="120"/>
              <w:bottom w:type="dxa" w:w="80"/>
              <w:right w:type="dxa" w:w="120"/>
            </w:tcMar>
            <w:vAlign w:val="center"/>
          </w:tcPr>
          <w:p>
            <w:pPr>
              <w:jc w:val="left"/>
            </w:pPr>
            <w:r>
              <w:rPr>
                <w:b w:val="false"/>
                <w:bCs w:val="false"/>
                <w:color w:val="1A1A1A"/>
              </w:rPr>
              <w:t xml:space="preserve">O comprador fez checkout da cesta; a plataforma calculou o IVA e o total.</w:t>
            </w:r>
          </w:p>
        </w:tc>
        <w:tc>
          <w:tcPr>
            <w:tcW w:type="dxa" w:w="2400"/>
            <w:tcMar>
              <w:top w:type="dxa" w:w="80"/>
              <w:left w:type="dxa" w:w="120"/>
              <w:bottom w:type="dxa" w:w="80"/>
              <w:right w:type="dxa" w:w="120"/>
            </w:tcMar>
            <w:vAlign w:val="center"/>
          </w:tcPr>
          <w:p>
            <w:pPr>
              <w:jc w:val="left"/>
            </w:pPr>
            <w:r>
              <w:rPr>
                <w:b w:val="false"/>
                <w:bCs w:val="false"/>
                <w:color w:val="1A1A1A"/>
              </w:rPr>
              <w:t xml:space="preserve">Comprador</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Aprovada / Rejeitada</w:t>
            </w:r>
          </w:p>
        </w:tc>
        <w:tc>
          <w:tcPr>
            <w:tcW w:type="dxa" w:w="6000"/>
            <w:shd w:fill="F4F1EA" w:val="clear"/>
            <w:tcMar>
              <w:top w:type="dxa" w:w="80"/>
              <w:left w:type="dxa" w:w="120"/>
              <w:bottom w:type="dxa" w:w="80"/>
              <w:right w:type="dxa" w:w="120"/>
            </w:tcMar>
            <w:vAlign w:val="center"/>
          </w:tcPr>
          <w:p>
            <w:pPr>
              <w:jc w:val="left"/>
            </w:pPr>
            <w:r>
              <w:rPr>
                <w:b w:val="false"/>
                <w:bCs w:val="false"/>
                <w:color w:val="1A1A1A"/>
              </w:rPr>
              <w:t xml:space="preserve">O Administrador da Empresa aprova ou rejeita (motivo obrigatório na rejeição).</w:t>
            </w:r>
          </w:p>
        </w:tc>
        <w:tc>
          <w:tcPr>
            <w:tcW w:type="dxa" w:w="2400"/>
            <w:shd w:fill="F4F1EA" w:val="clear"/>
            <w:tcMar>
              <w:top w:type="dxa" w:w="80"/>
              <w:left w:type="dxa" w:w="120"/>
              <w:bottom w:type="dxa" w:w="80"/>
              <w:right w:type="dxa" w:w="120"/>
            </w:tcMar>
            <w:vAlign w:val="center"/>
          </w:tcPr>
          <w:p>
            <w:pPr>
              <w:jc w:val="left"/>
            </w:pPr>
            <w:r>
              <w:rPr>
                <w:b w:val="false"/>
                <w:bCs w:val="false"/>
                <w:color w:val="1A1A1A"/>
              </w:rPr>
              <w:t xml:space="preserve">Administrador da Empresa compradora</w:t>
            </w:r>
          </w:p>
        </w:tc>
      </w:tr>
      <w:tr>
        <w:tc>
          <w:tcPr>
            <w:tcW w:type="dxa" w:w="2600"/>
            <w:tcMar>
              <w:top w:type="dxa" w:w="80"/>
              <w:left w:type="dxa" w:w="120"/>
              <w:bottom w:type="dxa" w:w="80"/>
              <w:right w:type="dxa" w:w="120"/>
            </w:tcMar>
            <w:vAlign w:val="center"/>
          </w:tcPr>
          <w:p>
            <w:pPr>
              <w:jc w:val="left"/>
            </w:pPr>
            <w:r>
              <w:rPr>
                <w:b w:val="false"/>
                <w:bCs w:val="false"/>
                <w:color w:val="1A1A1A"/>
              </w:rPr>
              <w:t xml:space="preserve">Aguardando Pagamento</w:t>
            </w:r>
          </w:p>
        </w:tc>
        <w:tc>
          <w:tcPr>
            <w:tcW w:type="dxa" w:w="6000"/>
            <w:tcMar>
              <w:top w:type="dxa" w:w="80"/>
              <w:left w:type="dxa" w:w="120"/>
              <w:bottom w:type="dxa" w:w="80"/>
              <w:right w:type="dxa" w:w="120"/>
            </w:tcMar>
            <w:vAlign w:val="center"/>
          </w:tcPr>
          <w:p>
            <w:pPr>
              <w:jc w:val="left"/>
            </w:pPr>
            <w:r>
              <w:rPr>
                <w:b w:val="false"/>
                <w:bCs w:val="false"/>
                <w:color w:val="1A1A1A"/>
              </w:rPr>
              <w:t xml:space="preserve">O fornecedor aceita a ordem; a fatura é emitida automaticamente, com prazo de pagamento (7 dias por omissão). Alternativa: Recusada pelo Fornecedor (motivo obrigatório).</w:t>
            </w:r>
          </w:p>
        </w:tc>
        <w:tc>
          <w:tcPr>
            <w:tcW w:type="dxa" w:w="2400"/>
            <w:tcMar>
              <w:top w:type="dxa" w:w="80"/>
              <w:left w:type="dxa" w:w="120"/>
              <w:bottom w:type="dxa" w:w="80"/>
              <w:right w:type="dxa" w:w="120"/>
            </w:tcMar>
            <w:vAlign w:val="center"/>
          </w:tcPr>
          <w:p>
            <w:pPr>
              <w:jc w:val="left"/>
            </w:pPr>
            <w:r>
              <w:rPr>
                <w:b w:val="false"/>
                <w:bCs w:val="false"/>
                <w:color w:val="1A1A1A"/>
              </w:rPr>
              <w:t xml:space="preserve">Fornecedor</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Paga</w:t>
            </w:r>
          </w:p>
        </w:tc>
        <w:tc>
          <w:tcPr>
            <w:tcW w:type="dxa" w:w="6000"/>
            <w:shd w:fill="F4F1EA" w:val="clear"/>
            <w:tcMar>
              <w:top w:type="dxa" w:w="80"/>
              <w:left w:type="dxa" w:w="120"/>
              <w:bottom w:type="dxa" w:w="80"/>
              <w:right w:type="dxa" w:w="120"/>
            </w:tcMar>
            <w:vAlign w:val="center"/>
          </w:tcPr>
          <w:p>
            <w:pPr>
              <w:jc w:val="left"/>
            </w:pPr>
            <w:r>
              <w:rPr>
                <w:b w:val="false"/>
                <w:bCs w:val="false"/>
                <w:color w:val="1A1A1A"/>
              </w:rPr>
              <w:t xml:space="preserve">O financeiro (ou o Administrador da Empresa) processa o pagamento, com comprovativo.</w:t>
            </w:r>
          </w:p>
        </w:tc>
        <w:tc>
          <w:tcPr>
            <w:tcW w:type="dxa" w:w="2400"/>
            <w:shd w:fill="F4F1EA" w:val="clear"/>
            <w:tcMar>
              <w:top w:type="dxa" w:w="80"/>
              <w:left w:type="dxa" w:w="120"/>
              <w:bottom w:type="dxa" w:w="80"/>
              <w:right w:type="dxa" w:w="120"/>
            </w:tcMar>
            <w:vAlign w:val="center"/>
          </w:tcPr>
          <w:p>
            <w:pPr>
              <w:jc w:val="left"/>
            </w:pPr>
            <w:r>
              <w:rPr>
                <w:b w:val="false"/>
                <w:bCs w:val="false"/>
                <w:color w:val="1A1A1A"/>
              </w:rPr>
              <w:t xml:space="preserve">Financeiro / Administrador da Empresa compradora</w:t>
            </w:r>
          </w:p>
        </w:tc>
      </w:tr>
      <w:tr>
        <w:tc>
          <w:tcPr>
            <w:tcW w:type="dxa" w:w="2600"/>
            <w:tcMar>
              <w:top w:type="dxa" w:w="80"/>
              <w:left w:type="dxa" w:w="120"/>
              <w:bottom w:type="dxa" w:w="80"/>
              <w:right w:type="dxa" w:w="120"/>
            </w:tcMar>
            <w:vAlign w:val="center"/>
          </w:tcPr>
          <w:p>
            <w:pPr>
              <w:jc w:val="left"/>
            </w:pPr>
            <w:r>
              <w:rPr>
                <w:b w:val="false"/>
                <w:bCs w:val="false"/>
                <w:color w:val="1A1A1A"/>
              </w:rPr>
              <w:t xml:space="preserve">Em Execução</w:t>
            </w:r>
          </w:p>
        </w:tc>
        <w:tc>
          <w:tcPr>
            <w:tcW w:type="dxa" w:w="6000"/>
            <w:tcMar>
              <w:top w:type="dxa" w:w="80"/>
              <w:left w:type="dxa" w:w="120"/>
              <w:bottom w:type="dxa" w:w="80"/>
              <w:right w:type="dxa" w:w="120"/>
            </w:tcMar>
            <w:vAlign w:val="center"/>
          </w:tcPr>
          <w:p>
            <w:pPr>
              <w:jc w:val="left"/>
            </w:pPr>
            <w:r>
              <w:rPr>
                <w:b w:val="false"/>
                <w:bCs w:val="false"/>
                <w:color w:val="1A1A1A"/>
              </w:rPr>
              <w:t xml:space="preserve">O fornecedor despacha a encomenda.</w:t>
            </w:r>
          </w:p>
        </w:tc>
        <w:tc>
          <w:tcPr>
            <w:tcW w:type="dxa" w:w="2400"/>
            <w:tcMar>
              <w:top w:type="dxa" w:w="80"/>
              <w:left w:type="dxa" w:w="120"/>
              <w:bottom w:type="dxa" w:w="80"/>
              <w:right w:type="dxa" w:w="120"/>
            </w:tcMar>
            <w:vAlign w:val="center"/>
          </w:tcPr>
          <w:p>
            <w:pPr>
              <w:jc w:val="left"/>
            </w:pPr>
            <w:r>
              <w:rPr>
                <w:b w:val="false"/>
                <w:bCs w:val="false"/>
                <w:color w:val="1A1A1A"/>
              </w:rPr>
              <w:t xml:space="preserve">Fornecedor</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Entregue</w:t>
            </w:r>
          </w:p>
        </w:tc>
        <w:tc>
          <w:tcPr>
            <w:tcW w:type="dxa" w:w="6000"/>
            <w:shd w:fill="F4F1EA" w:val="clear"/>
            <w:tcMar>
              <w:top w:type="dxa" w:w="80"/>
              <w:left w:type="dxa" w:w="120"/>
              <w:bottom w:type="dxa" w:w="80"/>
              <w:right w:type="dxa" w:w="120"/>
            </w:tcMar>
            <w:vAlign w:val="center"/>
          </w:tcPr>
          <w:p>
            <w:pPr>
              <w:jc w:val="left"/>
            </w:pPr>
            <w:r>
              <w:rPr>
                <w:b w:val="false"/>
                <w:bCs w:val="false"/>
                <w:color w:val="1A1A1A"/>
              </w:rPr>
              <w:t xml:space="preserve">O fornecedor confirma que a entrega chegou.</w:t>
            </w:r>
          </w:p>
        </w:tc>
        <w:tc>
          <w:tcPr>
            <w:tcW w:type="dxa" w:w="2400"/>
            <w:shd w:fill="F4F1EA" w:val="clear"/>
            <w:tcMar>
              <w:top w:type="dxa" w:w="80"/>
              <w:left w:type="dxa" w:w="120"/>
              <w:bottom w:type="dxa" w:w="80"/>
              <w:right w:type="dxa" w:w="120"/>
            </w:tcMar>
            <w:vAlign w:val="center"/>
          </w:tcPr>
          <w:p>
            <w:pPr>
              <w:jc w:val="left"/>
            </w:pPr>
            <w:r>
              <w:rPr>
                <w:b w:val="false"/>
                <w:bCs w:val="false"/>
                <w:color w:val="1A1A1A"/>
              </w:rPr>
              <w:t xml:space="preserve">Fornecedor</w:t>
            </w:r>
          </w:p>
        </w:tc>
      </w:tr>
      <w:tr>
        <w:tc>
          <w:tcPr>
            <w:tcW w:type="dxa" w:w="2600"/>
            <w:tcMar>
              <w:top w:type="dxa" w:w="80"/>
              <w:left w:type="dxa" w:w="120"/>
              <w:bottom w:type="dxa" w:w="80"/>
              <w:right w:type="dxa" w:w="120"/>
            </w:tcMar>
            <w:vAlign w:val="center"/>
          </w:tcPr>
          <w:p>
            <w:pPr>
              <w:jc w:val="left"/>
            </w:pPr>
            <w:r>
              <w:rPr>
                <w:b w:val="false"/>
                <w:bCs w:val="false"/>
                <w:color w:val="1A1A1A"/>
              </w:rPr>
              <w:t xml:space="preserve">Recebida Conforme / Recebida com Divergência</w:t>
            </w:r>
          </w:p>
        </w:tc>
        <w:tc>
          <w:tcPr>
            <w:tcW w:type="dxa" w:w="6000"/>
            <w:tcMar>
              <w:top w:type="dxa" w:w="80"/>
              <w:left w:type="dxa" w:w="120"/>
              <w:bottom w:type="dxa" w:w="80"/>
              <w:right w:type="dxa" w:w="120"/>
            </w:tcMar>
            <w:vAlign w:val="center"/>
          </w:tcPr>
          <w:p>
            <w:pPr>
              <w:jc w:val="left"/>
            </w:pPr>
            <w:r>
              <w:rPr>
                <w:b w:val="false"/>
                <w:bCs w:val="false"/>
                <w:color w:val="1A1A1A"/>
              </w:rPr>
              <w:t xml:space="preserve">O comprador confirma a receção — em conformidade, ou assinala um problema.</w:t>
            </w:r>
          </w:p>
        </w:tc>
        <w:tc>
          <w:tcPr>
            <w:tcW w:type="dxa" w:w="2400"/>
            <w:tcMar>
              <w:top w:type="dxa" w:w="80"/>
              <w:left w:type="dxa" w:w="120"/>
              <w:bottom w:type="dxa" w:w="80"/>
              <w:right w:type="dxa" w:w="120"/>
            </w:tcMar>
            <w:vAlign w:val="center"/>
          </w:tcPr>
          <w:p>
            <w:pPr>
              <w:jc w:val="left"/>
            </w:pPr>
            <w:r>
              <w:rPr>
                <w:b w:val="false"/>
                <w:bCs w:val="false"/>
                <w:color w:val="1A1A1A"/>
              </w:rPr>
              <w:t xml:space="preserve">Comprador</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Concluída</w:t>
            </w:r>
          </w:p>
        </w:tc>
        <w:tc>
          <w:tcPr>
            <w:tcW w:type="dxa" w:w="6000"/>
            <w:shd w:fill="F4F1EA" w:val="clear"/>
            <w:tcMar>
              <w:top w:type="dxa" w:w="80"/>
              <w:left w:type="dxa" w:w="120"/>
              <w:bottom w:type="dxa" w:w="80"/>
              <w:right w:type="dxa" w:w="120"/>
            </w:tcMar>
            <w:vAlign w:val="center"/>
          </w:tcPr>
          <w:p>
            <w:pPr>
              <w:jc w:val="left"/>
            </w:pPr>
            <w:r>
              <w:rPr>
                <w:b w:val="false"/>
                <w:bCs w:val="false"/>
                <w:color w:val="1A1A1A"/>
              </w:rPr>
              <w:t xml:space="preserve">Fecho automático quando a receção é conforme; ou depois de uma divergência ser resolvida.</w:t>
            </w:r>
          </w:p>
        </w:tc>
        <w:tc>
          <w:tcPr>
            <w:tcW w:type="dxa" w:w="2400"/>
            <w:shd w:fill="F4F1EA" w:val="clear"/>
            <w:tcMar>
              <w:top w:type="dxa" w:w="80"/>
              <w:left w:type="dxa" w:w="120"/>
              <w:bottom w:type="dxa" w:w="80"/>
              <w:right w:type="dxa" w:w="120"/>
            </w:tcMar>
            <w:vAlign w:val="center"/>
          </w:tcPr>
          <w:p>
            <w:pPr>
              <w:jc w:val="left"/>
            </w:pPr>
            <w:r>
              <w:rPr>
                <w:b w:val="false"/>
                <w:bCs w:val="false"/>
                <w:color w:val="1A1A1A"/>
              </w:rPr>
              <w:t xml:space="preserve">Automático / Comprador</w:t>
            </w:r>
          </w:p>
        </w:tc>
      </w:tr>
    </w:tbl>
    <w:p>
      <w:pPr>
        <w:pStyle w:val="Heading2"/>
        <w:spacing w:after="160" w:before="300"/>
      </w:pPr>
      <w:r>
        <w:t xml:space="preserve">7.2 Quando há divergência na entrega</w:t>
      </w:r>
    </w:p>
    <w:p>
      <w:pPr>
        <w:spacing w:after="160"/>
      </w:pPr>
      <w:r>
        <w:t xml:space="preserve">Se o comprador assinalar uma divergência na receção (por exemplo, quantidade errada ou item danificado), a ordem fica Recebida com Divergência até o comprador a resolver de uma de duas formas:</w:t>
      </w:r>
    </w:p>
    <w:p>
      <w:pPr>
        <w:pStyle w:val="ListParagraph"/>
        <w:numPr>
          <w:ilvl w:val="0"/>
          <w:numId w:val="2"/>
        </w:numPr>
        <w:spacing w:after="80"/>
      </w:pPr>
      <w:r>
        <w:t xml:space="preserve">Aceitar assim mesmo — a ordem passa a Concluída.</w:t>
      </w:r>
    </w:p>
    <w:p>
      <w:pPr>
        <w:pStyle w:val="ListParagraph"/>
        <w:numPr>
          <w:ilvl w:val="0"/>
          <w:numId w:val="2"/>
        </w:numPr>
        <w:spacing w:after="80"/>
      </w:pPr>
      <w:r>
        <w:t xml:space="preserve">Pedir reposição — a ordem volta a Em Execução, e o ciclo despacho → entrega → receção repete-se.</w:t>
      </w:r>
    </w:p>
    <w:p>
      <w:pPr>
        <w:pStyle w:val="Heading2"/>
        <w:spacing w:after="160" w:before="300"/>
      </w:pPr>
      <w:r>
        <w:t xml:space="preserve">7.3 Encomendas ao abrigo de um contrato-quadro</w:t>
      </w:r>
    </w:p>
    <w:p>
      <w:pPr>
        <w:spacing w:after="160"/>
      </w:pPr>
      <w:r>
        <w:t xml:space="preserve">Se existir um contrato-quadro ativo entre as duas empresas que cubra o fornecedor e as categorias da encomenda, a plataforma reconhece-o automaticamente no checkout. Esta encomenda ("call-off") segue um caminho mais curto: nasce já Aprovada (sem passar por aprovação individual do Administrador da Empresa) e, ao ser aceite pelo fornecedor, vai direta a Em Execução — sem fatura própria nem prazo de pagamento individual, porque é faturada em conjunto com as demais no fecho periódico do contrato (capítulo 8).</w:t>
      </w:r>
    </w:p>
    <w:p>
      <w:pPr>
        <w:spacing w:after="200" w:before="100"/>
      </w:pPr>
      <w:r>
        <w:rPr>
          <w:i/>
          <w:iCs/>
          <w:color w:val="5B5B5B"/>
        </w:rPr>
        <w:t xml:space="preserve">Nota: todas as outras etapas — despacho, entrega, receção, divergência — funcionam exatamente da mesma forma, com ou sem contrato-quadro.</w:t>
      </w:r>
    </w:p>
    <w:p>
      <w:pPr>
        <w:pStyle w:val="Heading1"/>
        <w:pageBreakBefore/>
        <w:spacing w:after="240"/>
      </w:pPr>
      <w:r>
        <w:t xml:space="preserve">8. Contratos-Quadro e Encomendas Avulsas</w:t>
      </w:r>
    </w:p>
    <w:p>
      <w:pPr>
        <w:spacing w:after="160"/>
      </w:pPr>
      <w:r>
        <w:t xml:space="preserve">Um contrato-quadro é um acordo entre uma empresa Cliente e um Fornecedor que cobre um conjunto de categorias por um período (trimestral ou semestral), com um prazo de pagamento próprio. É uma funcionalidade exclusiva do plano PRO do lado do cliente.</w:t>
      </w:r>
    </w:p>
    <w:p>
      <w:pPr>
        <w:pBdr>
          <w:left w:val="single" w:color="B8862E" w:sz="24"/>
        </w:pBdr>
        <w:shd w:fill="F4F1EA" w:val="clear"/>
        <w:spacing w:after="200" w:before="80"/>
      </w:pPr>
      <w:r>
        <w:rPr>
          <w:b/>
          <w:bCs/>
          <w:color w:val="1B2A4A"/>
        </w:rPr>
        <w:t xml:space="preserve">Quem faz isto: </w:t>
      </w:r>
      <w:r>
        <w:t xml:space="preserve">o contrato é criado pelo Admin do Sistema ou pelo Administrador da Empresa cliente.</w:t>
      </w:r>
    </w:p>
    <w:p>
      <w:pPr>
        <w:pStyle w:val="Heading2"/>
        <w:spacing w:after="160" w:before="300"/>
      </w:pPr>
      <w:r>
        <w:t xml:space="preserve">8.1 Estados do contrato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Estado</w:t>
            </w:r>
          </w:p>
        </w:tc>
        <w:tc>
          <w:tcPr>
            <w:tcW w:type="dxa" w:w="7400"/>
            <w:shd w:fill="1B2A4A" w:val="clear"/>
            <w:tcMar>
              <w:top w:type="dxa" w:w="80"/>
              <w:left w:type="dxa" w:w="120"/>
              <w:bottom w:type="dxa" w:w="80"/>
              <w:right w:type="dxa" w:w="120"/>
            </w:tcMar>
            <w:vAlign w:val="center"/>
          </w:tcPr>
          <w:p>
            <w:pPr>
              <w:jc w:val="left"/>
            </w:pPr>
            <w:r>
              <w:rPr>
                <w:b/>
                <w:bCs/>
                <w:color w:val="FFFFFF"/>
              </w:rPr>
              <w:t xml:space="preserve">Significado</w:t>
            </w:r>
          </w:p>
        </w:tc>
      </w:tr>
      <w:tr>
        <w:tc>
          <w:tcPr>
            <w:tcW w:type="dxa" w:w="2600"/>
            <w:tcMar>
              <w:top w:type="dxa" w:w="80"/>
              <w:left w:type="dxa" w:w="120"/>
              <w:bottom w:type="dxa" w:w="80"/>
              <w:right w:type="dxa" w:w="120"/>
            </w:tcMar>
            <w:vAlign w:val="center"/>
          </w:tcPr>
          <w:p>
            <w:pPr>
              <w:jc w:val="left"/>
            </w:pPr>
            <w:r>
              <w:rPr>
                <w:b w:val="false"/>
                <w:bCs w:val="false"/>
                <w:color w:val="1A1A1A"/>
              </w:rPr>
              <w:t xml:space="preserve">Ativo</w:t>
            </w:r>
          </w:p>
        </w:tc>
        <w:tc>
          <w:tcPr>
            <w:tcW w:type="dxa" w:w="7400"/>
            <w:tcMar>
              <w:top w:type="dxa" w:w="80"/>
              <w:left w:type="dxa" w:w="120"/>
              <w:bottom w:type="dxa" w:w="80"/>
              <w:right w:type="dxa" w:w="120"/>
            </w:tcMar>
            <w:vAlign w:val="center"/>
          </w:tcPr>
          <w:p>
            <w:pPr>
              <w:jc w:val="left"/>
            </w:pPr>
            <w:r>
              <w:rPr>
                <w:b w:val="false"/>
                <w:bCs w:val="false"/>
                <w:color w:val="1A1A1A"/>
              </w:rPr>
              <w:t xml:space="preserve">O contrato está em vigor; as encomendas cobertas por ele tornam-se call-offs (secção 7.3).</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Expirado</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Terminou a validade; novas encomendas voltam a seguir o ciclo normal.</w:t>
            </w:r>
          </w:p>
        </w:tc>
      </w:tr>
      <w:tr>
        <w:tc>
          <w:tcPr>
            <w:tcW w:type="dxa" w:w="2600"/>
            <w:tcMar>
              <w:top w:type="dxa" w:w="80"/>
              <w:left w:type="dxa" w:w="120"/>
              <w:bottom w:type="dxa" w:w="80"/>
              <w:right w:type="dxa" w:w="120"/>
            </w:tcMar>
            <w:vAlign w:val="center"/>
          </w:tcPr>
          <w:p>
            <w:pPr>
              <w:jc w:val="left"/>
            </w:pPr>
            <w:r>
              <w:rPr>
                <w:b w:val="false"/>
                <w:bCs w:val="false"/>
                <w:color w:val="1A1A1A"/>
              </w:rPr>
              <w:t xml:space="preserve">Encerrado</w:t>
            </w:r>
          </w:p>
        </w:tc>
        <w:tc>
          <w:tcPr>
            <w:tcW w:type="dxa" w:w="7400"/>
            <w:tcMar>
              <w:top w:type="dxa" w:w="80"/>
              <w:left w:type="dxa" w:w="120"/>
              <w:bottom w:type="dxa" w:w="80"/>
              <w:right w:type="dxa" w:w="120"/>
            </w:tcMar>
            <w:vAlign w:val="center"/>
          </w:tcPr>
          <w:p>
            <w:pPr>
              <w:jc w:val="left"/>
            </w:pPr>
            <w:r>
              <w:rPr>
                <w:b w:val="false"/>
                <w:bCs w:val="false"/>
                <w:color w:val="1A1A1A"/>
              </w:rPr>
              <w:t xml:space="preserve">Foi terminado antes do fim da validade.</w:t>
            </w:r>
          </w:p>
        </w:tc>
      </w:tr>
    </w:tbl>
    <w:p>
      <w:pPr>
        <w:pStyle w:val="Heading2"/>
        <w:spacing w:after="160" w:before="300"/>
      </w:pPr>
      <w:r>
        <w:t xml:space="preserve">8.2 Faturação consolidada</w:t>
      </w:r>
    </w:p>
    <w:p>
      <w:pPr>
        <w:spacing w:after="160"/>
      </w:pPr>
      <w:r>
        <w:t xml:space="preserve">Em vez de uma fatura por encomenda, os call-offs de um contrato são faturados em conjunto, periodicamente: o Financeiro (ou o Admin do Sistema) consolida todos os call-offs entregues, recebidos ou em execução ainda sem fatura numa única fatura, com um único prazo de pagamento contado a partir da data de consolidação segundo as condições do contrato.</w:t>
      </w:r>
    </w:p>
    <w:p>
      <w:pPr>
        <w:pBdr>
          <w:left w:val="single" w:color="B8862E" w:sz="24"/>
        </w:pBdr>
        <w:shd w:fill="F4F1EA" w:val="clear"/>
        <w:spacing w:after="200" w:before="80"/>
      </w:pPr>
      <w:r>
        <w:rPr>
          <w:b/>
          <w:bCs/>
          <w:color w:val="1B2A4A"/>
        </w:rPr>
        <w:t xml:space="preserve">Quem faz isto: </w:t>
      </w:r>
      <w:r>
        <w:t xml:space="preserve">a consolidação é feita pelo Financeiro da empresa cliente, ou pelo Admin do Sistema.</w:t>
      </w:r>
    </w:p>
    <w:p>
      <w:pPr>
        <w:pStyle w:val="Heading1"/>
        <w:pageBreakBefore/>
        <w:spacing w:after="240"/>
      </w:pPr>
      <w:r>
        <w:t xml:space="preserve">9. Faturação e Documentos Fiscais</w:t>
      </w:r>
    </w:p>
    <w:p>
      <w:pPr>
        <w:spacing w:after="160"/>
      </w:pPr>
      <w:r>
        <w:t xml:space="preserve">Toda a fatura emitida na KIXIMA é um documento fiscal certificado, seguindo as regras da Administração Geral Tributária (AGT) angolana — não é um simples PDF gerado à parte.</w:t>
      </w:r>
    </w:p>
    <w:p>
      <w:pPr>
        <w:pStyle w:val="Heading2"/>
        <w:spacing w:after="160" w:before="300"/>
      </w:pPr>
      <w:r>
        <w:t xml:space="preserve">9.1 Quando nasce uma fatura</w:t>
      </w:r>
    </w:p>
    <w:p>
      <w:pPr>
        <w:spacing w:after="160"/>
      </w:pPr>
      <w:r>
        <w:t xml:space="preserve">Uma fatura nasce automaticamente em dois momentos: quando o fornecedor aceita uma ordem de compra avulsa (secção 7.1), ou quando o Financeiro consolida os call-offs de um contrato-quadro (secção 8.2). O comprador e o fornecedor nunca criam uma fatura à mão.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Estado</w:t>
            </w:r>
          </w:p>
        </w:tc>
        <w:tc>
          <w:tcPr>
            <w:tcW w:type="dxa" w:w="7400"/>
            <w:shd w:fill="1B2A4A" w:val="clear"/>
            <w:tcMar>
              <w:top w:type="dxa" w:w="80"/>
              <w:left w:type="dxa" w:w="120"/>
              <w:bottom w:type="dxa" w:w="80"/>
              <w:right w:type="dxa" w:w="120"/>
            </w:tcMar>
            <w:vAlign w:val="center"/>
          </w:tcPr>
          <w:p>
            <w:pPr>
              <w:jc w:val="left"/>
            </w:pPr>
            <w:r>
              <w:rPr>
                <w:b/>
                <w:bCs/>
                <w:color w:val="FFFFFF"/>
              </w:rPr>
              <w:t xml:space="preserve">Significado</w:t>
            </w:r>
          </w:p>
        </w:tc>
      </w:tr>
      <w:tr>
        <w:tc>
          <w:tcPr>
            <w:tcW w:type="dxa" w:w="2600"/>
            <w:tcMar>
              <w:top w:type="dxa" w:w="80"/>
              <w:left w:type="dxa" w:w="120"/>
              <w:bottom w:type="dxa" w:w="80"/>
              <w:right w:type="dxa" w:w="120"/>
            </w:tcMar>
            <w:vAlign w:val="center"/>
          </w:tcPr>
          <w:p>
            <w:pPr>
              <w:jc w:val="left"/>
            </w:pPr>
            <w:r>
              <w:rPr>
                <w:b w:val="false"/>
                <w:bCs w:val="false"/>
                <w:color w:val="1A1A1A"/>
              </w:rPr>
              <w:t xml:space="preserve">Pendente</w:t>
            </w:r>
          </w:p>
        </w:tc>
        <w:tc>
          <w:tcPr>
            <w:tcW w:type="dxa" w:w="7400"/>
            <w:tcMar>
              <w:top w:type="dxa" w:w="80"/>
              <w:left w:type="dxa" w:w="120"/>
              <w:bottom w:type="dxa" w:w="80"/>
              <w:right w:type="dxa" w:w="120"/>
            </w:tcMar>
            <w:vAlign w:val="center"/>
          </w:tcPr>
          <w:p>
            <w:pPr>
              <w:jc w:val="left"/>
            </w:pPr>
            <w:r>
              <w:rPr>
                <w:b w:val="false"/>
                <w:bCs w:val="false"/>
                <w:color w:val="1A1A1A"/>
              </w:rPr>
              <w:t xml:space="preserve">Emitida, ainda por pagar.</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Paga</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O pagamento foi processado e confirmado.</w:t>
            </w:r>
          </w:p>
        </w:tc>
      </w:tr>
      <w:tr>
        <w:tc>
          <w:tcPr>
            <w:tcW w:type="dxa" w:w="2600"/>
            <w:tcMar>
              <w:top w:type="dxa" w:w="80"/>
              <w:left w:type="dxa" w:w="120"/>
              <w:bottom w:type="dxa" w:w="80"/>
              <w:right w:type="dxa" w:w="120"/>
            </w:tcMar>
            <w:vAlign w:val="center"/>
          </w:tcPr>
          <w:p>
            <w:pPr>
              <w:jc w:val="left"/>
            </w:pPr>
            <w:r>
              <w:rPr>
                <w:b w:val="false"/>
                <w:bCs w:val="false"/>
                <w:color w:val="1A1A1A"/>
              </w:rPr>
              <w:t xml:space="preserve">Vencida</w:t>
            </w:r>
          </w:p>
        </w:tc>
        <w:tc>
          <w:tcPr>
            <w:tcW w:type="dxa" w:w="7400"/>
            <w:tcMar>
              <w:top w:type="dxa" w:w="80"/>
              <w:left w:type="dxa" w:w="120"/>
              <w:bottom w:type="dxa" w:w="80"/>
              <w:right w:type="dxa" w:w="120"/>
            </w:tcMar>
            <w:vAlign w:val="center"/>
          </w:tcPr>
          <w:p>
            <w:pPr>
              <w:jc w:val="left"/>
            </w:pPr>
            <w:r>
              <w:rPr>
                <w:b w:val="false"/>
                <w:bCs w:val="false"/>
                <w:color w:val="1A1A1A"/>
              </w:rPr>
              <w:t xml:space="preserve">Ultrapassou o prazo de pagamento sem ser paga.</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Cancelada</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Anulada administrativamente.</w:t>
            </w:r>
          </w:p>
        </w:tc>
      </w:tr>
    </w:tbl>
    <w:p>
      <w:pPr>
        <w:pStyle w:val="Heading2"/>
        <w:spacing w:after="160" w:before="300"/>
      </w:pPr>
      <w:r>
        <w:t xml:space="preserve">9.2 Numeração e integridade certificadas</w:t>
      </w:r>
    </w:p>
    <w:p>
      <w:pPr>
        <w:spacing w:after="160"/>
      </w:pPr>
      <w:r>
        <w:t xml:space="preserve">Cada fornecedor tem a sua própria série de faturação (definida pelo Admin do Sistema, área Faturação), no formato exigido pela AGT: série, ano e um número sequencial de 7 dígitos, sem buracos nem repetições — por exemplo, "000AB.2026/0000001". Cada fatura fica ligada à anterior da mesma série por uma cadeia de verificação (um "hash" encadeado): se alguém alterasse uma fatura já emitida, ou se um número desaparecesse da sequência, a plataforma deteta-o.</w:t>
      </w:r>
    </w:p>
    <w:p>
      <w:pPr>
        <w:spacing w:after="160"/>
      </w:pPr>
      <w:r>
        <w:t xml:space="preserve">Cada linha da fatura mostra o valor e o imposto (IVA) próprios — não apenas um total agregado — espelhando a mesma estrutura da fatura oficial impressa.</w:t>
      </w:r>
    </w:p>
    <w:p>
      <w:pPr>
        <w:pBdr>
          <w:left w:val="single" w:color="B8862E" w:sz="24"/>
        </w:pBdr>
        <w:shd w:fill="F4F1EA" w:val="clear"/>
        <w:spacing w:after="200" w:before="80"/>
      </w:pPr>
      <w:r>
        <w:rPr>
          <w:b/>
          <w:bCs/>
          <w:color w:val="1B2A4A"/>
        </w:rPr>
        <w:t xml:space="preserve">Quem faz isto: </w:t>
      </w:r>
      <w:r>
        <w:t xml:space="preserve">a série fiscal de cada fornecedor, e a verificação de integridade da cadeia, são geridas pelo Admin do Sistema (área Faturação).</w:t>
      </w:r>
    </w:p>
    <w:p>
      <w:pPr>
        <w:spacing w:after="200" w:before="100"/>
      </w:pPr>
      <w:r>
        <w:rPr>
          <w:i/>
          <w:iCs/>
          <w:color w:val="5B5B5B"/>
        </w:rPr>
        <w:t xml:space="preserve">Nota: uma empresa só recebe faturas certificadas a partir da sua "data de adesão à faturação eletrónica" — documentos anteriores a essa data são recusados, tal como a AGT exige.</w:t>
      </w:r>
    </w:p>
    <w:p>
      <w:pPr>
        <w:pStyle w:val="Heading2"/>
        <w:spacing w:after="160" w:before="300"/>
      </w:pPr>
      <w:r>
        <w:t xml:space="preserve">9.3 Referência de pagamento</w:t>
      </w:r>
    </w:p>
    <w:p>
      <w:pPr>
        <w:spacing w:after="160"/>
      </w:pPr>
      <w:r>
        <w:t xml:space="preserve">Cada fatura recebe uma referência de pagamento própria e única, usada para conciliar automaticamente as transferências bancárias recebidas (capítulo 11.2).</w:t>
      </w:r>
    </w:p>
    <w:p>
      <w:pPr>
        <w:pStyle w:val="Heading1"/>
        <w:pageBreakBefore/>
        <w:spacing w:after="240"/>
      </w:pPr>
      <w:r>
        <w:t xml:space="preserve">10. Notas de Crédito</w:t>
      </w:r>
    </w:p>
    <w:p>
      <w:pPr>
        <w:spacing w:after="160"/>
      </w:pPr>
      <w:r>
        <w:t xml:space="preserve">Quando é preciso corrigir o valor de uma fatura já emitida — por exemplo, um desconto acordado depois, ou um erro de faturação — o Fornecedor emite uma nota de crédito contra essa fatura, nunca o comprador.</w:t>
      </w:r>
    </w:p>
    <w:p>
      <w:pPr>
        <w:pStyle w:val="ListParagraph"/>
        <w:numPr>
          <w:ilvl w:val="0"/>
          <w:numId w:val="2"/>
        </w:numPr>
        <w:spacing w:after="80"/>
      </w:pPr>
      <w:r>
        <w:t xml:space="preserve">É sempre obrigatório indicar o motivo.</w:t>
      </w:r>
    </w:p>
    <w:p>
      <w:pPr>
        <w:pStyle w:val="ListParagraph"/>
        <w:numPr>
          <w:ilvl w:val="0"/>
          <w:numId w:val="2"/>
        </w:numPr>
        <w:spacing w:after="80"/>
      </w:pPr>
      <w:r>
        <w:t xml:space="preserve">O valor da nota de crédito nunca pode exceder o saldo ainda por creditar da fatura de origem.</w:t>
      </w:r>
    </w:p>
    <w:p>
      <w:pPr>
        <w:pStyle w:val="ListParagraph"/>
        <w:numPr>
          <w:ilvl w:val="0"/>
          <w:numId w:val="2"/>
        </w:numPr>
        <w:spacing w:after="80"/>
      </w:pPr>
      <w:r>
        <w:t xml:space="preserve">Segue a mesma série fiscal do fornecedor, com o sufixo "-NC", e a mesma cadeia de integridade que as faturas — mas é uma cadeia independente.</w:t>
      </w:r>
    </w:p>
    <w:p>
      <w:pPr>
        <w:pStyle w:val="ListParagraph"/>
        <w:numPr>
          <w:ilvl w:val="0"/>
          <w:numId w:val="2"/>
        </w:numPr>
        <w:spacing w:after="80"/>
      </w:pPr>
      <w:r>
        <w:t xml:space="preserve">O comprador (Financeiro ou Administrador da Empresa) é notificado automaticamente quando uma nota de crédito é emitida contra uma das suas faturas.</w:t>
      </w:r>
    </w:p>
    <w:p>
      <w:pPr>
        <w:pBdr>
          <w:left w:val="single" w:color="B8862E" w:sz="24"/>
        </w:pBdr>
        <w:shd w:fill="F4F1EA" w:val="clear"/>
        <w:spacing w:after="200" w:before="80"/>
      </w:pPr>
      <w:r>
        <w:rPr>
          <w:b/>
          <w:bCs/>
          <w:color w:val="1B2A4A"/>
        </w:rPr>
        <w:t xml:space="preserve">Quem faz isto: </w:t>
      </w:r>
      <w:r>
        <w:t xml:space="preserve">quem emite é o Fornecedor da fatura em causa (ou o Admin do Sistema, área Faturação, em casos excecionais).</w:t>
      </w:r>
    </w:p>
    <w:p>
      <w:pPr>
        <w:pStyle w:val="Heading1"/>
        <w:pageBreakBefore/>
        <w:spacing w:after="240"/>
      </w:pPr>
      <w:r>
        <w:t xml:space="preserve">11. Pagamentos e Conciliação Bancária</w:t>
      </w:r>
    </w:p>
    <w:p>
      <w:pPr>
        <w:pStyle w:val="Heading2"/>
        <w:spacing w:after="160" w:before="300"/>
      </w:pPr>
      <w:r>
        <w:t xml:space="preserve">11.1 Pagar uma fatura</w:t>
      </w:r>
    </w:p>
    <w:p>
      <w:pPr>
        <w:spacing w:after="160"/>
      </w:pPr>
      <w:r>
        <w:t xml:space="preserve">O Financeiro (ou o Administrador da Empresa) regista o pagamento de uma fatura carregando obrigatoriamente o comprovativo. Ao ser processado:</w:t>
      </w:r>
    </w:p>
    <w:p>
      <w:pPr>
        <w:pStyle w:val="ListParagraph"/>
        <w:numPr>
          <w:ilvl w:val="0"/>
          <w:numId w:val="2"/>
        </w:numPr>
        <w:spacing w:after="80"/>
      </w:pPr>
      <w:r>
        <w:t xml:space="preserve">A fatura passa a Paga.</w:t>
      </w:r>
    </w:p>
    <w:p>
      <w:pPr>
        <w:pStyle w:val="ListParagraph"/>
        <w:numPr>
          <w:ilvl w:val="0"/>
          <w:numId w:val="2"/>
        </w:numPr>
        <w:spacing w:after="80"/>
      </w:pPr>
      <w:r>
        <w:t xml:space="preserve">A ordem de compra correspondente passa a Paga (ou todas as ordens cobertas, se for uma fatura consolidada de contrato).</w:t>
      </w:r>
    </w:p>
    <w:p>
      <w:pPr>
        <w:pStyle w:val="ListParagraph"/>
        <w:numPr>
          <w:ilvl w:val="0"/>
          <w:numId w:val="2"/>
        </w:numPr>
        <w:spacing w:after="80"/>
      </w:pPr>
      <w:r>
        <w:t xml:space="preserve">O pagamento em si é também um documento fiscal — o Recibo — com a sua própria numeração e cadeia de integridade, série própria do fornecedor com o sufixo "-RC".</w:t>
      </w:r>
    </w:p>
    <w:p>
      <w:pPr>
        <w:pStyle w:val="ListParagraph"/>
        <w:numPr>
          <w:ilvl w:val="0"/>
          <w:numId w:val="2"/>
        </w:numPr>
        <w:spacing w:after="80"/>
      </w:pPr>
      <w:r>
        <w:t xml:space="preserve">É gerada automaticamente a taxa da plataforma correspondente (capítulo 12).</w:t>
      </w:r>
    </w:p>
    <w:p>
      <w:pPr>
        <w:pStyle w:val="ListParagraph"/>
        <w:numPr>
          <w:ilvl w:val="0"/>
          <w:numId w:val="2"/>
        </w:numPr>
        <w:spacing w:after="80"/>
      </w:pPr>
      <w:r>
        <w:t xml:space="preserve">O fornecedor é notificado e confirma, do seu lado, que o valor chegou — fechando o ciclo de confiança entre as duas empresas.</w:t>
      </w:r>
    </w:p>
    <w:p>
      <w:pPr>
        <w:pBdr>
          <w:left w:val="single" w:color="B8862E" w:sz="24"/>
        </w:pBdr>
        <w:shd w:fill="F4F1EA" w:val="clear"/>
        <w:spacing w:after="200" w:before="80"/>
      </w:pPr>
      <w:r>
        <w:rPr>
          <w:b/>
          <w:bCs/>
          <w:color w:val="1B2A4A"/>
        </w:rPr>
        <w:t xml:space="preserve">Quem faz isto: </w:t>
      </w:r>
      <w:r>
        <w:t xml:space="preserve">quem regista o pagamento é o Financeiro ou o Administrador da Empresa compradora; quem confirma a receção do dinheiro é o Fornecedor.</w:t>
      </w:r>
    </w:p>
    <w:p>
      <w:pPr>
        <w:pStyle w:val="Heading2"/>
        <w:spacing w:after="160" w:before="300"/>
      </w:pPr>
      <w:r>
        <w:t xml:space="preserve">11.2 Conciliação bancária automática</w:t>
      </w:r>
    </w:p>
    <w:p>
      <w:pPr>
        <w:spacing w:after="160"/>
      </w:pPr>
      <w:r>
        <w:t xml:space="preserve">Cada fatura tem uma referência de pagamento própria, pensada para nunca ser confundida com outra (evita letras e números parecidos, como O/0 ou I/1). O Financeiro pode importar o extrato bancário da conta da KIXIMA; a plataforma tenta casar automaticamente cada movimento com a fatura certa, pela referência, pelo valor e pela moeda.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B2A4A" w:val="clear"/>
            <w:tcMar>
              <w:top w:type="dxa" w:w="80"/>
              <w:left w:type="dxa" w:w="120"/>
              <w:bottom w:type="dxa" w:w="80"/>
              <w:right w:type="dxa" w:w="120"/>
            </w:tcMar>
            <w:vAlign w:val="center"/>
          </w:tcPr>
          <w:p>
            <w:pPr>
              <w:jc w:val="left"/>
            </w:pPr>
            <w:r>
              <w:rPr>
                <w:b/>
                <w:bCs/>
                <w:color w:val="FFFFFF"/>
              </w:rPr>
              <w:t xml:space="preserve">Estado da linha do extrato</w:t>
            </w:r>
          </w:p>
        </w:tc>
        <w:tc>
          <w:tcPr>
            <w:tcW w:type="dxa" w:w="7000"/>
            <w:shd w:fill="1B2A4A" w:val="clear"/>
            <w:tcMar>
              <w:top w:type="dxa" w:w="80"/>
              <w:left w:type="dxa" w:w="120"/>
              <w:bottom w:type="dxa" w:w="80"/>
              <w:right w:type="dxa" w:w="120"/>
            </w:tcMar>
            <w:vAlign w:val="center"/>
          </w:tcPr>
          <w:p>
            <w:pPr>
              <w:jc w:val="left"/>
            </w:pPr>
            <w:r>
              <w:rPr>
                <w:b/>
                <w:bCs/>
                <w:color w:val="FFFFFF"/>
              </w:rPr>
              <w:t xml:space="preserve">Significado</w:t>
            </w:r>
          </w:p>
        </w:tc>
      </w:tr>
      <w:tr>
        <w:tc>
          <w:tcPr>
            <w:tcW w:type="dxa" w:w="3000"/>
            <w:tcMar>
              <w:top w:type="dxa" w:w="80"/>
              <w:left w:type="dxa" w:w="120"/>
              <w:bottom w:type="dxa" w:w="80"/>
              <w:right w:type="dxa" w:w="120"/>
            </w:tcMar>
            <w:vAlign w:val="center"/>
          </w:tcPr>
          <w:p>
            <w:pPr>
              <w:jc w:val="left"/>
            </w:pPr>
            <w:r>
              <w:rPr>
                <w:b w:val="false"/>
                <w:bCs w:val="false"/>
                <w:color w:val="1A1A1A"/>
              </w:rPr>
              <w:t xml:space="preserve">Por Conciliar</w:t>
            </w:r>
          </w:p>
        </w:tc>
        <w:tc>
          <w:tcPr>
            <w:tcW w:type="dxa" w:w="7000"/>
            <w:tcMar>
              <w:top w:type="dxa" w:w="80"/>
              <w:left w:type="dxa" w:w="120"/>
              <w:bottom w:type="dxa" w:w="80"/>
              <w:right w:type="dxa" w:w="120"/>
            </w:tcMar>
            <w:vAlign w:val="center"/>
          </w:tcPr>
          <w:p>
            <w:pPr>
              <w:jc w:val="left"/>
            </w:pPr>
            <w:r>
              <w:rPr>
                <w:b w:val="false"/>
                <w:bCs w:val="false"/>
                <w:color w:val="1A1A1A"/>
              </w:rPr>
              <w:t xml:space="preserve">Ainda não foi processada.</w:t>
            </w:r>
          </w:p>
        </w:tc>
      </w:tr>
      <w:tr>
        <w:tc>
          <w:tcPr>
            <w:tcW w:type="dxa" w:w="3000"/>
            <w:shd w:fill="F4F1EA" w:val="clear"/>
            <w:tcMar>
              <w:top w:type="dxa" w:w="80"/>
              <w:left w:type="dxa" w:w="120"/>
              <w:bottom w:type="dxa" w:w="80"/>
              <w:right w:type="dxa" w:w="120"/>
            </w:tcMar>
            <w:vAlign w:val="center"/>
          </w:tcPr>
          <w:p>
            <w:pPr>
              <w:jc w:val="left"/>
            </w:pPr>
            <w:r>
              <w:rPr>
                <w:b w:val="false"/>
                <w:bCs w:val="false"/>
                <w:color w:val="1A1A1A"/>
              </w:rPr>
              <w:t xml:space="preserve">Conciliada</w:t>
            </w:r>
          </w:p>
        </w:tc>
        <w:tc>
          <w:tcPr>
            <w:tcW w:type="dxa" w:w="7000"/>
            <w:shd w:fill="F4F1EA" w:val="clear"/>
            <w:tcMar>
              <w:top w:type="dxa" w:w="80"/>
              <w:left w:type="dxa" w:w="120"/>
              <w:bottom w:type="dxa" w:w="80"/>
              <w:right w:type="dxa" w:w="120"/>
            </w:tcMar>
            <w:vAlign w:val="center"/>
          </w:tcPr>
          <w:p>
            <w:pPr>
              <w:jc w:val="left"/>
            </w:pPr>
            <w:r>
              <w:rPr>
                <w:b w:val="false"/>
                <w:bCs w:val="false"/>
                <w:color w:val="1A1A1A"/>
              </w:rPr>
              <w:t xml:space="preserve">Encontrou a fatura certa: referência, valor e moeda coincidem exatamente.</w:t>
            </w:r>
          </w:p>
        </w:tc>
      </w:tr>
      <w:tr>
        <w:tc>
          <w:tcPr>
            <w:tcW w:type="dxa" w:w="3000"/>
            <w:tcMar>
              <w:top w:type="dxa" w:w="80"/>
              <w:left w:type="dxa" w:w="120"/>
              <w:bottom w:type="dxa" w:w="80"/>
              <w:right w:type="dxa" w:w="120"/>
            </w:tcMar>
            <w:vAlign w:val="center"/>
          </w:tcPr>
          <w:p>
            <w:pPr>
              <w:jc w:val="left"/>
            </w:pPr>
            <w:r>
              <w:rPr>
                <w:b w:val="false"/>
                <w:bCs w:val="false"/>
                <w:color w:val="1A1A1A"/>
              </w:rPr>
              <w:t xml:space="preserve">Sem Correspondência</w:t>
            </w:r>
          </w:p>
        </w:tc>
        <w:tc>
          <w:tcPr>
            <w:tcW w:type="dxa" w:w="7000"/>
            <w:tcMar>
              <w:top w:type="dxa" w:w="80"/>
              <w:left w:type="dxa" w:w="120"/>
              <w:bottom w:type="dxa" w:w="80"/>
              <w:right w:type="dxa" w:w="120"/>
            </w:tcMar>
            <w:vAlign w:val="center"/>
          </w:tcPr>
          <w:p>
            <w:pPr>
              <w:jc w:val="left"/>
            </w:pPr>
            <w:r>
              <w:rPr>
                <w:b w:val="false"/>
                <w:bCs w:val="false"/>
                <w:color w:val="1A1A1A"/>
              </w:rPr>
              <w:t xml:space="preserve">Não encontrou nenhuma fatura com essa referência.</w:t>
            </w:r>
          </w:p>
        </w:tc>
      </w:tr>
      <w:tr>
        <w:tc>
          <w:tcPr>
            <w:tcW w:type="dxa" w:w="3000"/>
            <w:shd w:fill="F4F1EA" w:val="clear"/>
            <w:tcMar>
              <w:top w:type="dxa" w:w="80"/>
              <w:left w:type="dxa" w:w="120"/>
              <w:bottom w:type="dxa" w:w="80"/>
              <w:right w:type="dxa" w:w="120"/>
            </w:tcMar>
            <w:vAlign w:val="center"/>
          </w:tcPr>
          <w:p>
            <w:pPr>
              <w:jc w:val="left"/>
            </w:pPr>
            <w:r>
              <w:rPr>
                <w:b w:val="false"/>
                <w:bCs w:val="false"/>
                <w:color w:val="1A1A1A"/>
              </w:rPr>
              <w:t xml:space="preserve">Divergente</w:t>
            </w:r>
          </w:p>
        </w:tc>
        <w:tc>
          <w:tcPr>
            <w:tcW w:type="dxa" w:w="7000"/>
            <w:shd w:fill="F4F1EA" w:val="clear"/>
            <w:tcMar>
              <w:top w:type="dxa" w:w="80"/>
              <w:left w:type="dxa" w:w="120"/>
              <w:bottom w:type="dxa" w:w="80"/>
              <w:right w:type="dxa" w:w="120"/>
            </w:tcMar>
            <w:vAlign w:val="center"/>
          </w:tcPr>
          <w:p>
            <w:pPr>
              <w:jc w:val="left"/>
            </w:pPr>
            <w:r>
              <w:rPr>
                <w:b w:val="false"/>
                <w:bCs w:val="false"/>
                <w:color w:val="1A1A1A"/>
              </w:rPr>
              <w:t xml:space="preserve">Encontrou uma fatura com essa referência, mas o valor ou a moeda não batem certo.</w:t>
            </w:r>
          </w:p>
        </w:tc>
      </w:tr>
    </w:tbl>
    <w:p>
      <w:pPr>
        <w:spacing w:after="200" w:before="100"/>
      </w:pPr>
      <w:r>
        <w:rPr>
          <w:i/>
          <w:iCs/>
          <w:color w:val="5B5B5B"/>
        </w:rPr>
        <w:t xml:space="preserve">Nota: a plataforma nunca assume um pagamento na dúvida — uma linha Sem Correspondência ou Divergente fica para o Financeiro (ou o Admin do Sistema) regularizar manualmente, corrigindo a referência e voltando a tentar.</w:t>
      </w:r>
    </w:p>
    <w:p>
      <w:pPr>
        <w:pStyle w:val="Heading1"/>
        <w:pageBreakBefore/>
        <w:spacing w:after="240"/>
      </w:pPr>
      <w:r>
        <w:t xml:space="preserve">12. Taxa da Plataforma KIXIMA</w:t>
      </w:r>
    </w:p>
    <w:p>
      <w:pPr>
        <w:spacing w:after="160"/>
      </w:pPr>
      <w:r>
        <w:t xml:space="preserve">Por cada transação paga, a KIXIMA cobra uma taxa de serviço, gerada automaticamente no momento do pagamento (capítulo 11.1) — nunca calculada ou lançada à mão.</w:t>
      </w:r>
    </w:p>
    <w:p>
      <w:pPr>
        <w:pStyle w:val="Heading2"/>
        <w:spacing w:after="160" w:before="300"/>
      </w:pPr>
      <w:r>
        <w:t xml:space="preserve">12.1 Como se calcula</w:t>
      </w:r>
    </w:p>
    <w:p>
      <w:pPr>
        <w:pStyle w:val="ListParagraph"/>
        <w:numPr>
          <w:ilvl w:val="0"/>
          <w:numId w:val="2"/>
        </w:numPr>
        <w:spacing w:after="80"/>
      </w:pPr>
      <w:r>
        <w:t xml:space="preserve">Até um limiar por transação (11.500 USD, por omissão): 8 USD por cada ordem de compra + 15 USD por cada fatura.</w:t>
      </w:r>
    </w:p>
    <w:p>
      <w:pPr>
        <w:pStyle w:val="ListParagraph"/>
        <w:numPr>
          <w:ilvl w:val="0"/>
          <w:numId w:val="2"/>
        </w:numPr>
        <w:spacing w:after="80"/>
      </w:pPr>
      <w:r>
        <w:t xml:space="preserve">Acima do limiar: 0,20% do valor da transação, que já substitui — não soma a — a fórmula fixa acima.</w:t>
      </w:r>
    </w:p>
    <w:p>
      <w:pPr>
        <w:spacing w:after="160"/>
      </w:pPr>
      <w:r>
        <w:t xml:space="preserve">As ordens de compra e as faturas continuam sempre em Kwanzas; a taxa é definida em dólares, e o câmbio usado para verificar o limiar fica gravado em cada taxa gerada, para o histórico nunca mudar retroativamente se o câmbio mudar depois.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Estado</w:t>
            </w:r>
          </w:p>
        </w:tc>
        <w:tc>
          <w:tcPr>
            <w:tcW w:type="dxa" w:w="7400"/>
            <w:shd w:fill="1B2A4A" w:val="clear"/>
            <w:tcMar>
              <w:top w:type="dxa" w:w="80"/>
              <w:left w:type="dxa" w:w="120"/>
              <w:bottom w:type="dxa" w:w="80"/>
              <w:right w:type="dxa" w:w="120"/>
            </w:tcMar>
            <w:vAlign w:val="center"/>
          </w:tcPr>
          <w:p>
            <w:pPr>
              <w:jc w:val="left"/>
            </w:pPr>
            <w:r>
              <w:rPr>
                <w:b/>
                <w:bCs/>
                <w:color w:val="FFFFFF"/>
              </w:rPr>
              <w:t xml:space="preserve">Significado</w:t>
            </w:r>
          </w:p>
        </w:tc>
      </w:tr>
      <w:tr>
        <w:tc>
          <w:tcPr>
            <w:tcW w:type="dxa" w:w="2600"/>
            <w:tcMar>
              <w:top w:type="dxa" w:w="80"/>
              <w:left w:type="dxa" w:w="120"/>
              <w:bottom w:type="dxa" w:w="80"/>
              <w:right w:type="dxa" w:w="120"/>
            </w:tcMar>
            <w:vAlign w:val="center"/>
          </w:tcPr>
          <w:p>
            <w:pPr>
              <w:jc w:val="left"/>
            </w:pPr>
            <w:r>
              <w:rPr>
                <w:b w:val="false"/>
                <w:bCs w:val="false"/>
                <w:color w:val="1A1A1A"/>
              </w:rPr>
              <w:t xml:space="preserve">Pendente</w:t>
            </w:r>
          </w:p>
        </w:tc>
        <w:tc>
          <w:tcPr>
            <w:tcW w:type="dxa" w:w="7400"/>
            <w:tcMar>
              <w:top w:type="dxa" w:w="80"/>
              <w:left w:type="dxa" w:w="120"/>
              <w:bottom w:type="dxa" w:w="80"/>
              <w:right w:type="dxa" w:w="120"/>
            </w:tcMar>
            <w:vAlign w:val="center"/>
          </w:tcPr>
          <w:p>
            <w:pPr>
              <w:jc w:val="left"/>
            </w:pPr>
            <w:r>
              <w:rPr>
                <w:b w:val="false"/>
                <w:bCs w:val="false"/>
                <w:color w:val="1A1A1A"/>
              </w:rPr>
              <w:t xml:space="preserve">A taxa foi calculada, ainda não foi cobrada à empresa.</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Cobrado</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O Admin do Sistema confirmou a cobrança.</w:t>
            </w:r>
          </w:p>
        </w:tc>
      </w:tr>
    </w:tbl>
    <w:p>
      <w:pPr>
        <w:pBdr>
          <w:left w:val="single" w:color="B8862E" w:sz="24"/>
        </w:pBdr>
        <w:shd w:fill="F4F1EA" w:val="clear"/>
        <w:spacing w:after="200" w:before="80"/>
      </w:pPr>
      <w:r>
        <w:rPr>
          <w:b/>
          <w:bCs/>
          <w:color w:val="1B2A4A"/>
        </w:rPr>
        <w:t xml:space="preserve">Quem faz isto: </w:t>
      </w:r>
      <w:r>
        <w:t xml:space="preserve">a confirmação da cobrança é feita pelo Admin do Sistema (área Financeiro). Qualquer empresa pode consultar o seu próprio extrato de taxas, disponível também como documento imprimível.</w:t>
      </w:r>
    </w:p>
    <w:p>
      <w:pPr>
        <w:pStyle w:val="Heading1"/>
        <w:pageBreakBefore/>
        <w:spacing w:after="240"/>
      </w:pPr>
      <w:r>
        <w:t xml:space="preserve">13. Assinaturas e Planos</w:t>
      </w:r>
    </w:p>
    <w:p>
      <w:pPr>
        <w:spacing w:after="160"/>
      </w:pPr>
      <w:r>
        <w:t xml:space="preserve">Toda a empresa opera sob um plano — BASE, CORE ou PRO — que determina os seus limites (lugares/utilizadores, cotações por mês, imagens e documentos por produto) e as funcionalidades a que tem acesso (contratos-quadro, kits, importação em massa, integração com ERPs). A dimensão legal da empresa (secção 3.1) pode obrigar a um plano mínimo — uma empresa Grande é sempre obrigada ao PRO.</w:t>
      </w:r>
    </w:p>
    <w:p>
      <w:pPr>
        <w:pStyle w:val="Heading2"/>
        <w:spacing w:after="160" w:before="300"/>
      </w:pPr>
      <w:r>
        <w:t xml:space="preserve">13.1 Pedir ou mudar de plano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2400"/>
      </w:tblGrid>
      <w:tr>
        <w:trPr>
          <w:tblHeader/>
        </w:trPr>
        <w:tc>
          <w:tcPr>
            <w:tcW w:type="dxa" w:w="2400"/>
            <w:shd w:fill="1B2A4A" w:val="clear"/>
            <w:tcMar>
              <w:top w:type="dxa" w:w="80"/>
              <w:left w:type="dxa" w:w="120"/>
              <w:bottom w:type="dxa" w:w="80"/>
              <w:right w:type="dxa" w:w="120"/>
            </w:tcMar>
            <w:vAlign w:val="center"/>
          </w:tcPr>
          <w:p>
            <w:pPr>
              <w:jc w:val="left"/>
            </w:pPr>
            <w:r>
              <w:rPr>
                <w:b/>
                <w:bCs/>
                <w:color w:val="FFFFFF"/>
              </w:rPr>
              <w:t xml:space="preserve">Estado</w:t>
            </w:r>
          </w:p>
        </w:tc>
        <w:tc>
          <w:tcPr>
            <w:tcW w:type="dxa" w:w="5600"/>
            <w:shd w:fill="1B2A4A" w:val="clear"/>
            <w:tcMar>
              <w:top w:type="dxa" w:w="80"/>
              <w:left w:type="dxa" w:w="120"/>
              <w:bottom w:type="dxa" w:w="80"/>
              <w:right w:type="dxa" w:w="120"/>
            </w:tcMar>
            <w:vAlign w:val="center"/>
          </w:tcPr>
          <w:p>
            <w:pPr>
              <w:jc w:val="left"/>
            </w:pPr>
            <w:r>
              <w:rPr>
                <w:b/>
                <w:bCs/>
                <w:color w:val="FFFFFF"/>
              </w:rPr>
              <w:t xml:space="preserve">O que acontece</w:t>
            </w:r>
          </w:p>
        </w:tc>
        <w:tc>
          <w:tcPr>
            <w:tcW w:type="dxa" w:w="2400"/>
            <w:shd w:fill="1B2A4A" w:val="clear"/>
            <w:tcMar>
              <w:top w:type="dxa" w:w="80"/>
              <w:left w:type="dxa" w:w="120"/>
              <w:bottom w:type="dxa" w:w="80"/>
              <w:right w:type="dxa" w:w="120"/>
            </w:tcMar>
            <w:vAlign w:val="center"/>
          </w:tcPr>
          <w:p>
            <w:pPr>
              <w:jc w:val="left"/>
            </w:pPr>
            <w:r>
              <w:rPr>
                <w:b/>
                <w:bCs/>
                <w:color w:val="FFFFFF"/>
              </w:rPr>
              <w:t xml:space="preserve">Quem faz</w:t>
            </w:r>
          </w:p>
        </w:tc>
      </w:tr>
      <w:tr>
        <w:tc>
          <w:tcPr>
            <w:tcW w:type="dxa" w:w="2400"/>
            <w:tcMar>
              <w:top w:type="dxa" w:w="80"/>
              <w:left w:type="dxa" w:w="120"/>
              <w:bottom w:type="dxa" w:w="80"/>
              <w:right w:type="dxa" w:w="120"/>
            </w:tcMar>
            <w:vAlign w:val="center"/>
          </w:tcPr>
          <w:p>
            <w:pPr>
              <w:jc w:val="left"/>
            </w:pPr>
            <w:r>
              <w:rPr>
                <w:b w:val="false"/>
                <w:bCs w:val="false"/>
                <w:color w:val="1A1A1A"/>
              </w:rPr>
              <w:t xml:space="preserve">Pendente</w:t>
            </w:r>
          </w:p>
        </w:tc>
        <w:tc>
          <w:tcPr>
            <w:tcW w:type="dxa" w:w="5600"/>
            <w:tcMar>
              <w:top w:type="dxa" w:w="80"/>
              <w:left w:type="dxa" w:w="120"/>
              <w:bottom w:type="dxa" w:w="80"/>
              <w:right w:type="dxa" w:w="120"/>
            </w:tcMar>
            <w:vAlign w:val="center"/>
          </w:tcPr>
          <w:p>
            <w:pPr>
              <w:jc w:val="left"/>
            </w:pPr>
            <w:r>
              <w:rPr>
                <w:b w:val="false"/>
                <w:bCs w:val="false"/>
                <w:color w:val="1A1A1A"/>
              </w:rPr>
              <w:t xml:space="preserve">O Administrador da Empresa pede um plano; o preço e o período ficam fixados nesse momento.</w:t>
            </w:r>
          </w:p>
        </w:tc>
        <w:tc>
          <w:tcPr>
            <w:tcW w:type="dxa" w:w="2400"/>
            <w:tcMar>
              <w:top w:type="dxa" w:w="80"/>
              <w:left w:type="dxa" w:w="120"/>
              <w:bottom w:type="dxa" w:w="80"/>
              <w:right w:type="dxa" w:w="120"/>
            </w:tcMar>
            <w:vAlign w:val="center"/>
          </w:tcPr>
          <w:p>
            <w:pPr>
              <w:jc w:val="left"/>
            </w:pPr>
            <w:r>
              <w:rPr>
                <w:b w:val="false"/>
                <w:bCs w:val="false"/>
                <w:color w:val="1A1A1A"/>
              </w:rPr>
              <w:t xml:space="preserve">Administrador da Empresa</w:t>
            </w:r>
          </w:p>
        </w:tc>
      </w:tr>
      <w:tr>
        <w:tc>
          <w:tcPr>
            <w:tcW w:type="dxa" w:w="2400"/>
            <w:shd w:fill="F4F1EA" w:val="clear"/>
            <w:tcMar>
              <w:top w:type="dxa" w:w="80"/>
              <w:left w:type="dxa" w:w="120"/>
              <w:bottom w:type="dxa" w:w="80"/>
              <w:right w:type="dxa" w:w="120"/>
            </w:tcMar>
            <w:vAlign w:val="center"/>
          </w:tcPr>
          <w:p>
            <w:pPr>
              <w:jc w:val="left"/>
            </w:pPr>
            <w:r>
              <w:rPr>
                <w:b w:val="false"/>
                <w:bCs w:val="false"/>
                <w:color w:val="1A1A1A"/>
              </w:rPr>
              <w:t xml:space="preserve">Comprovativo Enviado</w:t>
            </w:r>
          </w:p>
        </w:tc>
        <w:tc>
          <w:tcPr>
            <w:tcW w:type="dxa" w:w="5600"/>
            <w:shd w:fill="F4F1EA" w:val="clear"/>
            <w:tcMar>
              <w:top w:type="dxa" w:w="80"/>
              <w:left w:type="dxa" w:w="120"/>
              <w:bottom w:type="dxa" w:w="80"/>
              <w:right w:type="dxa" w:w="120"/>
            </w:tcMar>
            <w:vAlign w:val="center"/>
          </w:tcPr>
          <w:p>
            <w:pPr>
              <w:jc w:val="left"/>
            </w:pPr>
            <w:r>
              <w:rPr>
                <w:b w:val="false"/>
                <w:bCs w:val="false"/>
                <w:color w:val="1A1A1A"/>
              </w:rPr>
              <w:t xml:space="preserve">Carrega-se o comprovativo de pagamento (transferência bancária).</w:t>
            </w:r>
          </w:p>
        </w:tc>
        <w:tc>
          <w:tcPr>
            <w:tcW w:type="dxa" w:w="2400"/>
            <w:shd w:fill="F4F1EA" w:val="clear"/>
            <w:tcMar>
              <w:top w:type="dxa" w:w="80"/>
              <w:left w:type="dxa" w:w="120"/>
              <w:bottom w:type="dxa" w:w="80"/>
              <w:right w:type="dxa" w:w="120"/>
            </w:tcMar>
            <w:vAlign w:val="center"/>
          </w:tcPr>
          <w:p>
            <w:pPr>
              <w:jc w:val="left"/>
            </w:pPr>
            <w:r>
              <w:rPr>
                <w:b w:val="false"/>
                <w:bCs w:val="false"/>
                <w:color w:val="1A1A1A"/>
              </w:rPr>
              <w:t xml:space="preserve">Administrador da Empresa / Financeiro</w:t>
            </w:r>
          </w:p>
        </w:tc>
      </w:tr>
      <w:tr>
        <w:tc>
          <w:tcPr>
            <w:tcW w:type="dxa" w:w="2400"/>
            <w:tcMar>
              <w:top w:type="dxa" w:w="80"/>
              <w:left w:type="dxa" w:w="120"/>
              <w:bottom w:type="dxa" w:w="80"/>
              <w:right w:type="dxa" w:w="120"/>
            </w:tcMar>
            <w:vAlign w:val="center"/>
          </w:tcPr>
          <w:p>
            <w:pPr>
              <w:jc w:val="left"/>
            </w:pPr>
            <w:r>
              <w:rPr>
                <w:b w:val="false"/>
                <w:bCs w:val="false"/>
                <w:color w:val="1A1A1A"/>
              </w:rPr>
              <w:t xml:space="preserve">Confirmada</w:t>
            </w:r>
          </w:p>
        </w:tc>
        <w:tc>
          <w:tcPr>
            <w:tcW w:type="dxa" w:w="5600"/>
            <w:tcMar>
              <w:top w:type="dxa" w:w="80"/>
              <w:left w:type="dxa" w:w="120"/>
              <w:bottom w:type="dxa" w:w="80"/>
              <w:right w:type="dxa" w:w="120"/>
            </w:tcMar>
            <w:vAlign w:val="center"/>
          </w:tcPr>
          <w:p>
            <w:pPr>
              <w:jc w:val="left"/>
            </w:pPr>
            <w:r>
              <w:rPr>
                <w:b w:val="false"/>
                <w:bCs w:val="false"/>
                <w:color w:val="1A1A1A"/>
              </w:rPr>
              <w:t xml:space="preserve">O plano muda de facto — só aqui.</w:t>
            </w:r>
          </w:p>
        </w:tc>
        <w:tc>
          <w:tcPr>
            <w:tcW w:type="dxa" w:w="2400"/>
            <w:tcMar>
              <w:top w:type="dxa" w:w="80"/>
              <w:left w:type="dxa" w:w="120"/>
              <w:bottom w:type="dxa" w:w="80"/>
              <w:right w:type="dxa" w:w="120"/>
            </w:tcMar>
            <w:vAlign w:val="center"/>
          </w:tcPr>
          <w:p>
            <w:pPr>
              <w:jc w:val="left"/>
            </w:pPr>
            <w:r>
              <w:rPr>
                <w:b w:val="false"/>
                <w:bCs w:val="false"/>
                <w:color w:val="1A1A1A"/>
              </w:rPr>
              <w:t xml:space="preserve">Admin do Sistema, ou automático (ver 13.2)</w:t>
            </w:r>
          </w:p>
        </w:tc>
      </w:tr>
      <w:tr>
        <w:tc>
          <w:tcPr>
            <w:tcW w:type="dxa" w:w="2400"/>
            <w:shd w:fill="F4F1EA" w:val="clear"/>
            <w:tcMar>
              <w:top w:type="dxa" w:w="80"/>
              <w:left w:type="dxa" w:w="120"/>
              <w:bottom w:type="dxa" w:w="80"/>
              <w:right w:type="dxa" w:w="120"/>
            </w:tcMar>
            <w:vAlign w:val="center"/>
          </w:tcPr>
          <w:p>
            <w:pPr>
              <w:jc w:val="left"/>
            </w:pPr>
            <w:r>
              <w:rPr>
                <w:b w:val="false"/>
                <w:bCs w:val="false"/>
                <w:color w:val="1A1A1A"/>
              </w:rPr>
              <w:t xml:space="preserve">Cancelada</w:t>
            </w:r>
          </w:p>
        </w:tc>
        <w:tc>
          <w:tcPr>
            <w:tcW w:type="dxa" w:w="5600"/>
            <w:shd w:fill="F4F1EA" w:val="clear"/>
            <w:tcMar>
              <w:top w:type="dxa" w:w="80"/>
              <w:left w:type="dxa" w:w="120"/>
              <w:bottom w:type="dxa" w:w="80"/>
              <w:right w:type="dxa" w:w="120"/>
            </w:tcMar>
            <w:vAlign w:val="center"/>
          </w:tcPr>
          <w:p>
            <w:pPr>
              <w:jc w:val="left"/>
            </w:pPr>
            <w:r>
              <w:rPr>
                <w:b w:val="false"/>
                <w:bCs w:val="false"/>
                <w:color w:val="1A1A1A"/>
              </w:rPr>
              <w:t xml:space="preserve">O pedido foi cancelado, com motivo.</w:t>
            </w:r>
          </w:p>
        </w:tc>
        <w:tc>
          <w:tcPr>
            <w:tcW w:type="dxa" w:w="2400"/>
            <w:shd w:fill="F4F1EA" w:val="clear"/>
            <w:tcMar>
              <w:top w:type="dxa" w:w="80"/>
              <w:left w:type="dxa" w:w="120"/>
              <w:bottom w:type="dxa" w:w="80"/>
              <w:right w:type="dxa" w:w="120"/>
            </w:tcMar>
            <w:vAlign w:val="center"/>
          </w:tcPr>
          <w:p>
            <w:pPr>
              <w:jc w:val="left"/>
            </w:pPr>
            <w:r>
              <w:rPr>
                <w:b w:val="false"/>
                <w:bCs w:val="false"/>
                <w:color w:val="1A1A1A"/>
              </w:rPr>
              <w:t xml:space="preserve">Administrador da Empresa / Admin do Sistema</w:t>
            </w:r>
          </w:p>
        </w:tc>
      </w:tr>
    </w:tbl>
    <w:p>
      <w:pPr>
        <w:spacing w:after="200" w:before="100"/>
      </w:pPr>
      <w:r>
        <w:rPr>
          <w:i/>
          <w:iCs/>
          <w:color w:val="5B5B5B"/>
        </w:rPr>
        <w:t xml:space="preserve">Nota: se a empresa já estiver a usar funcionalidades que o novo plano não inclui, a plataforma avisa antes de deixar prosseguir — a perda tem de ser aceite explicitamente.</w:t>
      </w:r>
    </w:p>
    <w:p>
      <w:pPr>
        <w:pStyle w:val="Heading2"/>
        <w:spacing w:after="160" w:before="300"/>
      </w:pPr>
      <w:r>
        <w:t xml:space="preserve">13.2 Pagamento automático (BASE e CORE) vs. transferência manual</w:t>
      </w:r>
    </w:p>
    <w:p>
      <w:pPr>
        <w:spacing w:after="160"/>
      </w:pPr>
      <w:r>
        <w:t xml:space="preserve">Os planos BASE e CORE podem ser pagos por um canal automático — EMIS/Multicaixa Express, PayPay, BAI, BFA ou Standard Bank Angola — que confirma o pagamento sozinho e ativa o plano de imediato, sem esperar por ninguém da KIXIMA. O plano PRO é sempre pago por transferência bancária manual, com confirmação humana do Admin do Sistema.</w:t>
      </w:r>
    </w:p>
    <w:p>
      <w:pPr>
        <w:spacing w:after="200" w:before="100"/>
      </w:pPr>
      <w:r>
        <w:rPr>
          <w:i/>
          <w:iCs/>
          <w:color w:val="5B5B5B"/>
        </w:rPr>
        <w:t xml:space="preserve">Nota: nenhum destes canais automáticos funciona sem que as respetivas credenciais estejam configuradas no ambiente — enquanto isso não acontecer, a plataforma recusa-se a fingir um pagamento e mostra apenas a opção de transferência manual.</w:t>
      </w:r>
    </w:p>
    <w:p>
      <w:pPr>
        <w:pStyle w:val="Heading2"/>
        <w:spacing w:after="160" w:before="300"/>
      </w:pPr>
      <w:r>
        <w:t xml:space="preserve">13.3 Expiração e período de tolerância</w:t>
      </w:r>
    </w:p>
    <w:p>
      <w:pPr>
        <w:spacing w:after="160"/>
      </w:pPr>
      <w:r>
        <w:t xml:space="preserve">A plataforma avisa a empresa em patamares fixos antes do fim da subscrição (30, 7, 3 e 1 dia antes, e no próprio dia). Depois de expirar, há um período de tolerância (7 dias, por omissão) em que a empresa continua a funcionar normalmente; passado esse prazo, o acesso a funcionalidades premium fica restrito — nunca aos dados, ao histórico ou às ordens de compra já existentes — até o plano ser renovado.</w:t>
      </w:r>
    </w:p>
    <w:p>
      <w:pPr>
        <w:pStyle w:val="Heading1"/>
        <w:pageBreakBefore/>
        <w:spacing w:after="240"/>
      </w:pPr>
      <w:r>
        <w:t xml:space="preserve">14. Apólices e Seguros</w:t>
      </w:r>
    </w:p>
    <w:p>
      <w:pPr>
        <w:spacing w:after="160"/>
      </w:pPr>
      <w:r>
        <w:t xml:space="preserve">A KIXIMA usa duas apólices distintas para gerir risco em ambos os sentidos da relação: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000"/>
        <w:gridCol w:w="20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Apólice</w:t>
            </w:r>
          </w:p>
        </w:tc>
        <w:tc>
          <w:tcPr>
            <w:tcW w:type="dxa" w:w="3400"/>
            <w:shd w:fill="1B2A4A" w:val="clear"/>
            <w:tcMar>
              <w:top w:type="dxa" w:w="80"/>
              <w:left w:type="dxa" w:w="120"/>
              <w:bottom w:type="dxa" w:w="80"/>
              <w:right w:type="dxa" w:w="120"/>
            </w:tcMar>
            <w:vAlign w:val="center"/>
          </w:tcPr>
          <w:p>
            <w:pPr>
              <w:jc w:val="left"/>
            </w:pPr>
            <w:r>
              <w:rPr>
                <w:b/>
                <w:bCs/>
                <w:color w:val="FFFFFF"/>
              </w:rPr>
              <w:t xml:space="preserve">Sentido</w:t>
            </w:r>
          </w:p>
        </w:tc>
        <w:tc>
          <w:tcPr>
            <w:tcW w:type="dxa" w:w="2000"/>
            <w:shd w:fill="1B2A4A" w:val="clear"/>
            <w:tcMar>
              <w:top w:type="dxa" w:w="80"/>
              <w:left w:type="dxa" w:w="120"/>
              <w:bottom w:type="dxa" w:w="80"/>
              <w:right w:type="dxa" w:w="120"/>
            </w:tcMar>
            <w:vAlign w:val="center"/>
          </w:tcPr>
          <w:p>
            <w:pPr>
              <w:jc w:val="left"/>
            </w:pPr>
            <w:r>
              <w:rPr>
                <w:b/>
                <w:bCs/>
                <w:color w:val="FFFFFF"/>
              </w:rPr>
              <w:t xml:space="preserve">Quem submete</w:t>
            </w:r>
          </w:p>
        </w:tc>
        <w:tc>
          <w:tcPr>
            <w:tcW w:type="dxa" w:w="2000"/>
            <w:shd w:fill="1B2A4A" w:val="clear"/>
            <w:tcMar>
              <w:top w:type="dxa" w:w="80"/>
              <w:left w:type="dxa" w:w="120"/>
              <w:bottom w:type="dxa" w:w="80"/>
              <w:right w:type="dxa" w:w="120"/>
            </w:tcMar>
            <w:vAlign w:val="center"/>
          </w:tcPr>
          <w:p>
            <w:pPr>
              <w:jc w:val="left"/>
            </w:pPr>
            <w:r>
              <w:rPr>
                <w:b/>
                <w:bCs/>
                <w:color w:val="FFFFFF"/>
              </w:rPr>
              <w:t xml:space="preserve">Quem decide</w:t>
            </w:r>
          </w:p>
        </w:tc>
      </w:tr>
      <w:tr>
        <w:tc>
          <w:tcPr>
            <w:tcW w:type="dxa" w:w="2600"/>
            <w:tcMar>
              <w:top w:type="dxa" w:w="80"/>
              <w:left w:type="dxa" w:w="120"/>
              <w:bottom w:type="dxa" w:w="80"/>
              <w:right w:type="dxa" w:w="120"/>
            </w:tcMar>
            <w:vAlign w:val="center"/>
          </w:tcPr>
          <w:p>
            <w:pPr>
              <w:jc w:val="left"/>
            </w:pPr>
            <w:r>
              <w:rPr>
                <w:b w:val="false"/>
                <w:bCs w:val="false"/>
                <w:color w:val="1A1A1A"/>
              </w:rPr>
              <w:t xml:space="preserve">Fornecedor → KIXIMA</w:t>
            </w:r>
          </w:p>
        </w:tc>
        <w:tc>
          <w:tcPr>
            <w:tcW w:type="dxa" w:w="3400"/>
            <w:tcMar>
              <w:top w:type="dxa" w:w="80"/>
              <w:left w:type="dxa" w:w="120"/>
              <w:bottom w:type="dxa" w:w="80"/>
              <w:right w:type="dxa" w:w="120"/>
            </w:tcMar>
            <w:vAlign w:val="center"/>
          </w:tcPr>
          <w:p>
            <w:pPr>
              <w:jc w:val="left"/>
            </w:pPr>
            <w:r>
              <w:rPr>
                <w:b w:val="false"/>
                <w:bCs w:val="false"/>
                <w:color w:val="1A1A1A"/>
              </w:rPr>
              <w:t xml:space="preserve">O fornecedor garante-se perante a KIXIMA — condição de credenciamento.</w:t>
            </w:r>
          </w:p>
        </w:tc>
        <w:tc>
          <w:tcPr>
            <w:tcW w:type="dxa" w:w="2000"/>
            <w:tcMar>
              <w:top w:type="dxa" w:w="80"/>
              <w:left w:type="dxa" w:w="120"/>
              <w:bottom w:type="dxa" w:w="80"/>
              <w:right w:type="dxa" w:w="120"/>
            </w:tcMar>
            <w:vAlign w:val="center"/>
          </w:tcPr>
          <w:p>
            <w:pPr>
              <w:jc w:val="left"/>
            </w:pPr>
            <w:r>
              <w:rPr>
                <w:b w:val="false"/>
                <w:bCs w:val="false"/>
                <w:color w:val="1A1A1A"/>
              </w:rPr>
              <w:t xml:space="preserve">Fornecedor / Administrador da Empresa fornecedora</w:t>
            </w:r>
          </w:p>
        </w:tc>
        <w:tc>
          <w:tcPr>
            <w:tcW w:type="dxa" w:w="2000"/>
            <w:tcMar>
              <w:top w:type="dxa" w:w="80"/>
              <w:left w:type="dxa" w:w="120"/>
              <w:bottom w:type="dxa" w:w="80"/>
              <w:right w:type="dxa" w:w="120"/>
            </w:tcMar>
            <w:vAlign w:val="center"/>
          </w:tcPr>
          <w:p>
            <w:pPr>
              <w:jc w:val="left"/>
            </w:pPr>
            <w:r>
              <w:rPr>
                <w:b w:val="false"/>
                <w:bCs w:val="false"/>
                <w:color w:val="1A1A1A"/>
              </w:rPr>
              <w:t xml:space="preserve">Admin do Sistema (área Apólices)</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KIXIMA → Cliente</w:t>
            </w:r>
          </w:p>
        </w:tc>
        <w:tc>
          <w:tcPr>
            <w:tcW w:type="dxa" w:w="3400"/>
            <w:shd w:fill="F4F1EA" w:val="clear"/>
            <w:tcMar>
              <w:top w:type="dxa" w:w="80"/>
              <w:left w:type="dxa" w:w="120"/>
              <w:bottom w:type="dxa" w:w="80"/>
              <w:right w:type="dxa" w:w="120"/>
            </w:tcMar>
            <w:vAlign w:val="center"/>
          </w:tcPr>
          <w:p>
            <w:pPr>
              <w:jc w:val="left"/>
            </w:pPr>
            <w:r>
              <w:rPr>
                <w:b w:val="false"/>
                <w:bCs w:val="false"/>
                <w:color w:val="1A1A1A"/>
              </w:rPr>
              <w:t xml:space="preserve">A KIXIMA garante o cliente — emitida após due diligence.</w:t>
            </w:r>
          </w:p>
        </w:tc>
        <w:tc>
          <w:tcPr>
            <w:tcW w:type="dxa" w:w="2000"/>
            <w:shd w:fill="F4F1EA" w:val="clear"/>
            <w:tcMar>
              <w:top w:type="dxa" w:w="80"/>
              <w:left w:type="dxa" w:w="120"/>
              <w:bottom w:type="dxa" w:w="80"/>
              <w:right w:type="dxa" w:w="120"/>
            </w:tcMar>
            <w:vAlign w:val="center"/>
          </w:tcPr>
          <w:p>
            <w:pPr>
              <w:jc w:val="left"/>
            </w:pPr>
            <w:r>
              <w:rPr>
                <w:b w:val="false"/>
                <w:bCs w:val="false"/>
                <w:color w:val="1A1A1A"/>
              </w:rPr>
              <w:t xml:space="preserve">—</w:t>
            </w:r>
          </w:p>
        </w:tc>
        <w:tc>
          <w:tcPr>
            <w:tcW w:type="dxa" w:w="2000"/>
            <w:shd w:fill="F4F1EA" w:val="clear"/>
            <w:tcMar>
              <w:top w:type="dxa" w:w="80"/>
              <w:left w:type="dxa" w:w="120"/>
              <w:bottom w:type="dxa" w:w="80"/>
              <w:right w:type="dxa" w:w="120"/>
            </w:tcMar>
            <w:vAlign w:val="center"/>
          </w:tcPr>
          <w:p>
            <w:pPr>
              <w:jc w:val="left"/>
            </w:pPr>
            <w:r>
              <w:rPr>
                <w:b w:val="false"/>
                <w:bCs w:val="false"/>
                <w:color w:val="1A1A1A"/>
              </w:rPr>
              <w:t xml:space="preserve">Admin do Sistema (área Apólices), emitida já aprovada</w:t>
            </w:r>
          </w:p>
        </w:tc>
      </w:tr>
    </w:tbl>
    <w:p>
      <w:pPr>
        <w:spacing w:after="160"/>
      </w:pPr>
      <w:r>
        <w:t xml:space="preserve">Estados possíveis: Submetida, Aprovada, Rejeitada, Expirada. Uma empresa fornecedora nunca é aprovada no cadastro (capítulo 3.2) sem ter a sua apólice Fornecedor→KIXIMA submetida.</w:t>
      </w:r>
    </w:p>
    <w:p>
      <w:pPr>
        <w:spacing w:after="200" w:before="100"/>
      </w:pPr>
      <w:r>
        <w:rPr>
          <w:i/>
          <w:iCs/>
          <w:color w:val="5B5B5B"/>
        </w:rPr>
        <w:t xml:space="preserve">Nota: a plataforma avisa automaticamente o Administrador da Empresa e o Financeiro antes de uma apólice expirar (30 dias por omissão), uma única vez.</w:t>
      </w:r>
    </w:p>
    <w:p>
      <w:pPr>
        <w:pStyle w:val="Heading1"/>
        <w:pageBreakBefore/>
        <w:spacing w:after="240"/>
      </w:pPr>
      <w:r>
        <w:t xml:space="preserve">15. Chat de Suporte e Chat Comercial</w:t>
      </w:r>
    </w:p>
    <w:p>
      <w:pPr>
        <w:pStyle w:val="Heading2"/>
        <w:spacing w:after="160" w:before="300"/>
      </w:pPr>
      <w:r>
        <w:t xml:space="preserve">15.1 Chat de Suporte</w:t>
      </w:r>
    </w:p>
    <w:p>
      <w:pPr>
        <w:spacing w:after="160"/>
      </w:pPr>
      <w:r>
        <w:t xml:space="preserve">Qualquer pessoa autenticada pode abrir um pedido de apoio à KIXIMA através do Chat de Suporte. Um assessor de Suporte (Admin do Sistema, área Suporte) atende, responde e resolve.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Estado</w:t>
            </w:r>
          </w:p>
        </w:tc>
        <w:tc>
          <w:tcPr>
            <w:tcW w:type="dxa" w:w="7400"/>
            <w:shd w:fill="1B2A4A" w:val="clear"/>
            <w:tcMar>
              <w:top w:type="dxa" w:w="80"/>
              <w:left w:type="dxa" w:w="120"/>
              <w:bottom w:type="dxa" w:w="80"/>
              <w:right w:type="dxa" w:w="120"/>
            </w:tcMar>
            <w:vAlign w:val="center"/>
          </w:tcPr>
          <w:p>
            <w:pPr>
              <w:jc w:val="left"/>
            </w:pPr>
            <w:r>
              <w:rPr>
                <w:b/>
                <w:bCs/>
                <w:color w:val="FFFFFF"/>
              </w:rPr>
              <w:t xml:space="preserve">Significado</w:t>
            </w:r>
          </w:p>
        </w:tc>
      </w:tr>
      <w:tr>
        <w:tc>
          <w:tcPr>
            <w:tcW w:type="dxa" w:w="2600"/>
            <w:tcMar>
              <w:top w:type="dxa" w:w="80"/>
              <w:left w:type="dxa" w:w="120"/>
              <w:bottom w:type="dxa" w:w="80"/>
              <w:right w:type="dxa" w:w="120"/>
            </w:tcMar>
            <w:vAlign w:val="center"/>
          </w:tcPr>
          <w:p>
            <w:pPr>
              <w:jc w:val="left"/>
            </w:pPr>
            <w:r>
              <w:rPr>
                <w:b w:val="false"/>
                <w:bCs w:val="false"/>
                <w:color w:val="1A1A1A"/>
              </w:rPr>
              <w:t xml:space="preserve">Aberto</w:t>
            </w:r>
          </w:p>
        </w:tc>
        <w:tc>
          <w:tcPr>
            <w:tcW w:type="dxa" w:w="7400"/>
            <w:tcMar>
              <w:top w:type="dxa" w:w="80"/>
              <w:left w:type="dxa" w:w="120"/>
              <w:bottom w:type="dxa" w:w="80"/>
              <w:right w:type="dxa" w:w="120"/>
            </w:tcMar>
            <w:vAlign w:val="center"/>
          </w:tcPr>
          <w:p>
            <w:pPr>
              <w:jc w:val="left"/>
            </w:pPr>
            <w:r>
              <w:rPr>
                <w:b w:val="false"/>
                <w:bCs w:val="false"/>
                <w:color w:val="1A1A1A"/>
              </w:rPr>
              <w:t xml:space="preserve">Ticket criado, ainda sem ninguém a tratá-lo.</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Em Andamento</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Um assessor está a tratar o pedido (fica neste estado sempre que o próprio utilizador escreve).</w:t>
            </w:r>
          </w:p>
        </w:tc>
      </w:tr>
      <w:tr>
        <w:tc>
          <w:tcPr>
            <w:tcW w:type="dxa" w:w="2600"/>
            <w:tcMar>
              <w:top w:type="dxa" w:w="80"/>
              <w:left w:type="dxa" w:w="120"/>
              <w:bottom w:type="dxa" w:w="80"/>
              <w:right w:type="dxa" w:w="120"/>
            </w:tcMar>
            <w:vAlign w:val="center"/>
          </w:tcPr>
          <w:p>
            <w:pPr>
              <w:jc w:val="left"/>
            </w:pPr>
            <w:r>
              <w:rPr>
                <w:b w:val="false"/>
                <w:bCs w:val="false"/>
                <w:color w:val="1A1A1A"/>
              </w:rPr>
              <w:t xml:space="preserve">Aguardando Resposta</w:t>
            </w:r>
          </w:p>
        </w:tc>
        <w:tc>
          <w:tcPr>
            <w:tcW w:type="dxa" w:w="7400"/>
            <w:tcMar>
              <w:top w:type="dxa" w:w="80"/>
              <w:left w:type="dxa" w:w="120"/>
              <w:bottom w:type="dxa" w:w="80"/>
              <w:right w:type="dxa" w:w="120"/>
            </w:tcMar>
            <w:vAlign w:val="center"/>
          </w:tcPr>
          <w:p>
            <w:pPr>
              <w:jc w:val="left"/>
            </w:pPr>
            <w:r>
              <w:rPr>
                <w:b w:val="false"/>
                <w:bCs w:val="false"/>
                <w:color w:val="1A1A1A"/>
              </w:rPr>
              <w:t xml:space="preserve">O assessor respondeu e aguarda o utilizador.</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Resolvido</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O assessor considera o pedido resolvido.</w:t>
            </w:r>
          </w:p>
        </w:tc>
      </w:tr>
      <w:tr>
        <w:tc>
          <w:tcPr>
            <w:tcW w:type="dxa" w:w="2600"/>
            <w:tcMar>
              <w:top w:type="dxa" w:w="80"/>
              <w:left w:type="dxa" w:w="120"/>
              <w:bottom w:type="dxa" w:w="80"/>
              <w:right w:type="dxa" w:w="120"/>
            </w:tcMar>
            <w:vAlign w:val="center"/>
          </w:tcPr>
          <w:p>
            <w:pPr>
              <w:jc w:val="left"/>
            </w:pPr>
            <w:r>
              <w:rPr>
                <w:b w:val="false"/>
                <w:bCs w:val="false"/>
                <w:color w:val="1A1A1A"/>
              </w:rPr>
              <w:t xml:space="preserve">Fechado</w:t>
            </w:r>
          </w:p>
        </w:tc>
        <w:tc>
          <w:tcPr>
            <w:tcW w:type="dxa" w:w="7400"/>
            <w:tcMar>
              <w:top w:type="dxa" w:w="80"/>
              <w:left w:type="dxa" w:w="120"/>
              <w:bottom w:type="dxa" w:w="80"/>
              <w:right w:type="dxa" w:w="120"/>
            </w:tcMar>
            <w:vAlign w:val="center"/>
          </w:tcPr>
          <w:p>
            <w:pPr>
              <w:jc w:val="left"/>
            </w:pPr>
            <w:r>
              <w:rPr>
                <w:b w:val="false"/>
                <w:bCs w:val="false"/>
                <w:color w:val="1A1A1A"/>
              </w:rPr>
              <w:t xml:space="preserve">Encerrado — não aceita novas mensagens sem ser reaberto explicitamente.</w:t>
            </w:r>
          </w:p>
        </w:tc>
      </w:tr>
    </w:tbl>
    <w:p>
      <w:pPr>
        <w:spacing w:after="160"/>
      </w:pPr>
      <w:r>
        <w:t xml:space="preserve">O assessor pode ainda assumir um ticket sem dono, transferi-lo para outro assessor, ou reabrir um ticket já fechado.</w:t>
      </w:r>
    </w:p>
    <w:p>
      <w:pPr>
        <w:pStyle w:val="Heading2"/>
        <w:spacing w:after="160" w:before="300"/>
      </w:pPr>
      <w:r>
        <w:t xml:space="preserve">15.2 Chat Comercial</w:t>
      </w:r>
    </w:p>
    <w:p>
      <w:pPr>
        <w:spacing w:after="160"/>
      </w:pPr>
      <w:r>
        <w:t xml:space="preserve">É a conversa direta entre um Comprador e um Fornecedor — por iniciativa de qualquer um dos dois — para negociar antes ou depois de uma cotação, ordem de compra ou contrato, ou simplesmente sem nenhum contexto associado.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Estado</w:t>
            </w:r>
          </w:p>
        </w:tc>
        <w:tc>
          <w:tcPr>
            <w:tcW w:type="dxa" w:w="7400"/>
            <w:shd w:fill="1B2A4A" w:val="clear"/>
            <w:tcMar>
              <w:top w:type="dxa" w:w="80"/>
              <w:left w:type="dxa" w:w="120"/>
              <w:bottom w:type="dxa" w:w="80"/>
              <w:right w:type="dxa" w:w="120"/>
            </w:tcMar>
            <w:vAlign w:val="center"/>
          </w:tcPr>
          <w:p>
            <w:pPr>
              <w:jc w:val="left"/>
            </w:pPr>
            <w:r>
              <w:rPr>
                <w:b/>
                <w:bCs/>
                <w:color w:val="FFFFFF"/>
              </w:rPr>
              <w:t xml:space="preserve">Significado</w:t>
            </w:r>
          </w:p>
        </w:tc>
      </w:tr>
      <w:tr>
        <w:tc>
          <w:tcPr>
            <w:tcW w:type="dxa" w:w="2600"/>
            <w:tcMar>
              <w:top w:type="dxa" w:w="80"/>
              <w:left w:type="dxa" w:w="120"/>
              <w:bottom w:type="dxa" w:w="80"/>
              <w:right w:type="dxa" w:w="120"/>
            </w:tcMar>
            <w:vAlign w:val="center"/>
          </w:tcPr>
          <w:p>
            <w:pPr>
              <w:jc w:val="left"/>
            </w:pPr>
            <w:r>
              <w:rPr>
                <w:b w:val="false"/>
                <w:bCs w:val="false"/>
                <w:color w:val="1A1A1A"/>
              </w:rPr>
              <w:t xml:space="preserve">Aberta</w:t>
            </w:r>
          </w:p>
        </w:tc>
        <w:tc>
          <w:tcPr>
            <w:tcW w:type="dxa" w:w="7400"/>
            <w:tcMar>
              <w:top w:type="dxa" w:w="80"/>
              <w:left w:type="dxa" w:w="120"/>
              <w:bottom w:type="dxa" w:w="80"/>
              <w:right w:type="dxa" w:w="120"/>
            </w:tcMar>
            <w:vAlign w:val="center"/>
          </w:tcPr>
          <w:p>
            <w:pPr>
              <w:jc w:val="left"/>
            </w:pPr>
            <w:r>
              <w:rPr>
                <w:b w:val="false"/>
                <w:bCs w:val="false"/>
                <w:color w:val="1A1A1A"/>
              </w:rPr>
              <w:t xml:space="preserve">A conversa está ativa.</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Fechada</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A conversa foi encerrada por uma das partes.</w:t>
            </w:r>
          </w:p>
        </w:tc>
      </w:tr>
    </w:tbl>
    <w:p>
      <w:pPr>
        <w:spacing w:after="200" w:before="100"/>
      </w:pPr>
      <w:r>
        <w:rPr>
          <w:i/>
          <w:iCs/>
          <w:color w:val="5B5B5B"/>
        </w:rPr>
        <w:t xml:space="preserve">Nota: toda mensagem do Chat Comercial é analisada automaticamente por um motor de confiança e segurança (capítulo 16) — a análise nunca impede o envio, apenas assinala.</w:t>
      </w:r>
    </w:p>
    <w:p>
      <w:pPr>
        <w:pStyle w:val="Heading1"/>
        <w:pageBreakBefore/>
        <w:spacing w:after="240"/>
      </w:pPr>
      <w:r>
        <w:t xml:space="preserve">16. Confiança e Segurança (Trust &amp; Safety)</w:t>
      </w:r>
    </w:p>
    <w:p>
      <w:pPr>
        <w:spacing w:after="160"/>
      </w:pPr>
      <w:r>
        <w:t xml:space="preserve">A KIXIMA garante o pagamento apenas enquanto a negociação e o dinheiro passarem pela própria plataforma. Por isso, todas as mensagens do Chat Comercial são analisadas automaticamente à procura de sinais de que a conversa está a tentar sair da plataforma — por exemplo, trocar números de telefone ou apps de mensagens, falar em pagar "por fora", ou sugerir cancelar uma ordem para a repetir fora da KIXIMA.</w:t>
      </w:r>
    </w:p>
    <w:p>
      <w:pPr>
        <w:spacing w:after="160"/>
      </w:pPr>
      <w:r>
        <w:t xml:space="preserve">A análise atribui um nível de risco a cada conversa: Baixo, Médio, Alto ou Crítico. Só a partir de Médio é que se cria um alerta — o nível Baixo nunca fica registado, para não acumular ruído sobre conversas normais.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Estado do alerta</w:t>
            </w:r>
          </w:p>
        </w:tc>
        <w:tc>
          <w:tcPr>
            <w:tcW w:type="dxa" w:w="7400"/>
            <w:shd w:fill="1B2A4A" w:val="clear"/>
            <w:tcMar>
              <w:top w:type="dxa" w:w="80"/>
              <w:left w:type="dxa" w:w="120"/>
              <w:bottom w:type="dxa" w:w="80"/>
              <w:right w:type="dxa" w:w="120"/>
            </w:tcMar>
            <w:vAlign w:val="center"/>
          </w:tcPr>
          <w:p>
            <w:pPr>
              <w:jc w:val="left"/>
            </w:pPr>
            <w:r>
              <w:rPr>
                <w:b/>
                <w:bCs/>
                <w:color w:val="FFFFFF"/>
              </w:rPr>
              <w:t xml:space="preserve">Significado</w:t>
            </w:r>
          </w:p>
        </w:tc>
      </w:tr>
      <w:tr>
        <w:tc>
          <w:tcPr>
            <w:tcW w:type="dxa" w:w="2600"/>
            <w:tcMar>
              <w:top w:type="dxa" w:w="80"/>
              <w:left w:type="dxa" w:w="120"/>
              <w:bottom w:type="dxa" w:w="80"/>
              <w:right w:type="dxa" w:w="120"/>
            </w:tcMar>
            <w:vAlign w:val="center"/>
          </w:tcPr>
          <w:p>
            <w:pPr>
              <w:jc w:val="left"/>
            </w:pPr>
            <w:r>
              <w:rPr>
                <w:b w:val="false"/>
                <w:bCs w:val="false"/>
                <w:color w:val="1A1A1A"/>
              </w:rPr>
              <w:t xml:space="preserve">Aberto</w:t>
            </w:r>
          </w:p>
        </w:tc>
        <w:tc>
          <w:tcPr>
            <w:tcW w:type="dxa" w:w="7400"/>
            <w:tcMar>
              <w:top w:type="dxa" w:w="80"/>
              <w:left w:type="dxa" w:w="120"/>
              <w:bottom w:type="dxa" w:w="80"/>
              <w:right w:type="dxa" w:w="120"/>
            </w:tcMar>
            <w:vAlign w:val="center"/>
          </w:tcPr>
          <w:p>
            <w:pPr>
              <w:jc w:val="left"/>
            </w:pPr>
            <w:r>
              <w:rPr>
                <w:b w:val="false"/>
                <w:bCs w:val="false"/>
                <w:color w:val="1A1A1A"/>
              </w:rPr>
              <w:t xml:space="preserve">Alerta criado, ainda por analisar.</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Em Análise</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Um assessor de Suporte está a rever a conversa.</w:t>
            </w:r>
          </w:p>
        </w:tc>
      </w:tr>
      <w:tr>
        <w:tc>
          <w:tcPr>
            <w:tcW w:type="dxa" w:w="2600"/>
            <w:tcMar>
              <w:top w:type="dxa" w:w="80"/>
              <w:left w:type="dxa" w:w="120"/>
              <w:bottom w:type="dxa" w:w="80"/>
              <w:right w:type="dxa" w:w="120"/>
            </w:tcMar>
            <w:vAlign w:val="center"/>
          </w:tcPr>
          <w:p>
            <w:pPr>
              <w:jc w:val="left"/>
            </w:pPr>
            <w:r>
              <w:rPr>
                <w:b w:val="false"/>
                <w:bCs w:val="false"/>
                <w:color w:val="1A1A1A"/>
              </w:rPr>
              <w:t xml:space="preserve">Falso Positivo</w:t>
            </w:r>
          </w:p>
        </w:tc>
        <w:tc>
          <w:tcPr>
            <w:tcW w:type="dxa" w:w="7400"/>
            <w:tcMar>
              <w:top w:type="dxa" w:w="80"/>
              <w:left w:type="dxa" w:w="120"/>
              <w:bottom w:type="dxa" w:w="80"/>
              <w:right w:type="dxa" w:w="120"/>
            </w:tcMar>
            <w:vAlign w:val="center"/>
          </w:tcPr>
          <w:p>
            <w:pPr>
              <w:jc w:val="left"/>
            </w:pPr>
            <w:r>
              <w:rPr>
                <w:b w:val="false"/>
                <w:bCs w:val="false"/>
                <w:color w:val="1A1A1A"/>
              </w:rPr>
              <w:t xml:space="preserve">Revisto e considerado sem problema.</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Resolvido</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Tratado (por exemplo, empresa avisada).</w:t>
            </w:r>
          </w:p>
        </w:tc>
      </w:tr>
    </w:tbl>
    <w:p>
      <w:pPr>
        <w:pBdr>
          <w:left w:val="single" w:color="B8862E" w:sz="24"/>
        </w:pBdr>
        <w:shd w:fill="F4F1EA" w:val="clear"/>
        <w:spacing w:after="200" w:before="80"/>
      </w:pPr>
      <w:r>
        <w:rPr>
          <w:b/>
          <w:bCs/>
          <w:color w:val="1B2A4A"/>
        </w:rPr>
        <w:t xml:space="preserve">Quem faz isto: </w:t>
      </w:r>
      <w:r>
        <w:t xml:space="preserve">só um assessor de Suporte (Admin do Sistema, área Suporte) pode aceder ao conteúdo de uma conversa comercial sinalizada — e cada acesso fica registado na auditoria, com o alerta que o justificou.</w:t>
      </w:r>
    </w:p>
    <w:p>
      <w:pPr>
        <w:pStyle w:val="Heading1"/>
        <w:pageBreakBefore/>
        <w:spacing w:after="240"/>
      </w:pPr>
      <w:r>
        <w:t xml:space="preserve">17. Desenvolvimento de Fornecedores</w:t>
      </w:r>
    </w:p>
    <w:p>
      <w:pPr>
        <w:spacing w:after="160"/>
      </w:pPr>
      <w:r>
        <w:t xml:space="preserve">É o caminho de entrada para empresas que ainda não são fornecedoras na KIXIMA mas querem candidatar-se — por exemplo, para apoio na parte burocrática do credenciamento, ou para uma parceria comercial. A candidatura é pública, sem precisar de conta.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B2A4A" w:val="clear"/>
            <w:tcMar>
              <w:top w:type="dxa" w:w="80"/>
              <w:left w:type="dxa" w:w="120"/>
              <w:bottom w:type="dxa" w:w="80"/>
              <w:right w:type="dxa" w:w="120"/>
            </w:tcMar>
            <w:vAlign w:val="center"/>
          </w:tcPr>
          <w:p>
            <w:pPr>
              <w:jc w:val="left"/>
            </w:pPr>
            <w:r>
              <w:rPr>
                <w:b/>
                <w:bCs/>
                <w:color w:val="FFFFFF"/>
              </w:rPr>
              <w:t xml:space="preserve">Estado</w:t>
            </w:r>
          </w:p>
        </w:tc>
        <w:tc>
          <w:tcPr>
            <w:tcW w:type="dxa" w:w="7400"/>
            <w:shd w:fill="1B2A4A" w:val="clear"/>
            <w:tcMar>
              <w:top w:type="dxa" w:w="80"/>
              <w:left w:type="dxa" w:w="120"/>
              <w:bottom w:type="dxa" w:w="80"/>
              <w:right w:type="dxa" w:w="120"/>
            </w:tcMar>
            <w:vAlign w:val="center"/>
          </w:tcPr>
          <w:p>
            <w:pPr>
              <w:jc w:val="left"/>
            </w:pPr>
            <w:r>
              <w:rPr>
                <w:b/>
                <w:bCs/>
                <w:color w:val="FFFFFF"/>
              </w:rPr>
              <w:t xml:space="preserve">Significado</w:t>
            </w:r>
          </w:p>
        </w:tc>
      </w:tr>
      <w:tr>
        <w:tc>
          <w:tcPr>
            <w:tcW w:type="dxa" w:w="2600"/>
            <w:tcMar>
              <w:top w:type="dxa" w:w="80"/>
              <w:left w:type="dxa" w:w="120"/>
              <w:bottom w:type="dxa" w:w="80"/>
              <w:right w:type="dxa" w:w="120"/>
            </w:tcMar>
            <w:vAlign w:val="center"/>
          </w:tcPr>
          <w:p>
            <w:pPr>
              <w:jc w:val="left"/>
            </w:pPr>
            <w:r>
              <w:rPr>
                <w:b w:val="false"/>
                <w:bCs w:val="false"/>
                <w:color w:val="1A1A1A"/>
              </w:rPr>
              <w:t xml:space="preserve">Recebida</w:t>
            </w:r>
          </w:p>
        </w:tc>
        <w:tc>
          <w:tcPr>
            <w:tcW w:type="dxa" w:w="7400"/>
            <w:tcMar>
              <w:top w:type="dxa" w:w="80"/>
              <w:left w:type="dxa" w:w="120"/>
              <w:bottom w:type="dxa" w:w="80"/>
              <w:right w:type="dxa" w:w="120"/>
            </w:tcMar>
            <w:vAlign w:val="center"/>
          </w:tcPr>
          <w:p>
            <w:pPr>
              <w:jc w:val="left"/>
            </w:pPr>
            <w:r>
              <w:rPr>
                <w:b w:val="false"/>
                <w:bCs w:val="false"/>
                <w:color w:val="1A1A1A"/>
              </w:rPr>
              <w:t xml:space="preserve">Candidatura submetida.</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Em Análise</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Um assessor está a rever.</w:t>
            </w:r>
          </w:p>
        </w:tc>
      </w:tr>
      <w:tr>
        <w:tc>
          <w:tcPr>
            <w:tcW w:type="dxa" w:w="2600"/>
            <w:tcMar>
              <w:top w:type="dxa" w:w="80"/>
              <w:left w:type="dxa" w:w="120"/>
              <w:bottom w:type="dxa" w:w="80"/>
              <w:right w:type="dxa" w:w="120"/>
            </w:tcMar>
            <w:vAlign w:val="center"/>
          </w:tcPr>
          <w:p>
            <w:pPr>
              <w:jc w:val="left"/>
            </w:pPr>
            <w:r>
              <w:rPr>
                <w:b w:val="false"/>
                <w:bCs w:val="false"/>
                <w:color w:val="1A1A1A"/>
              </w:rPr>
              <w:t xml:space="preserve">Em Acompanhamento</w:t>
            </w:r>
          </w:p>
        </w:tc>
        <w:tc>
          <w:tcPr>
            <w:tcW w:type="dxa" w:w="7400"/>
            <w:tcMar>
              <w:top w:type="dxa" w:w="80"/>
              <w:left w:type="dxa" w:w="120"/>
              <w:bottom w:type="dxa" w:w="80"/>
              <w:right w:type="dxa" w:w="120"/>
            </w:tcMar>
            <w:vAlign w:val="center"/>
          </w:tcPr>
          <w:p>
            <w:pPr>
              <w:jc w:val="left"/>
            </w:pPr>
            <w:r>
              <w:rPr>
                <w:b w:val="false"/>
                <w:bCs w:val="false"/>
                <w:color w:val="1A1A1A"/>
              </w:rPr>
              <w:t xml:space="preserve">Aceite; a empresa está a ser acompanhada até estar pronta.</w:t>
            </w:r>
          </w:p>
        </w:tc>
      </w:tr>
      <w:tr>
        <w:tc>
          <w:tcPr>
            <w:tcW w:type="dxa" w:w="2600"/>
            <w:shd w:fill="F4F1EA" w:val="clear"/>
            <w:tcMar>
              <w:top w:type="dxa" w:w="80"/>
              <w:left w:type="dxa" w:w="120"/>
              <w:bottom w:type="dxa" w:w="80"/>
              <w:right w:type="dxa" w:w="120"/>
            </w:tcMar>
            <w:vAlign w:val="center"/>
          </w:tcPr>
          <w:p>
            <w:pPr>
              <w:jc w:val="left"/>
            </w:pPr>
            <w:r>
              <w:rPr>
                <w:b w:val="false"/>
                <w:bCs w:val="false"/>
                <w:color w:val="1A1A1A"/>
              </w:rPr>
              <w:t xml:space="preserve">Concluída</w:t>
            </w:r>
          </w:p>
        </w:tc>
        <w:tc>
          <w:tcPr>
            <w:tcW w:type="dxa" w:w="7400"/>
            <w:shd w:fill="F4F1EA" w:val="clear"/>
            <w:tcMar>
              <w:top w:type="dxa" w:w="80"/>
              <w:left w:type="dxa" w:w="120"/>
              <w:bottom w:type="dxa" w:w="80"/>
              <w:right w:type="dxa" w:w="120"/>
            </w:tcMar>
            <w:vAlign w:val="center"/>
          </w:tcPr>
          <w:p>
            <w:pPr>
              <w:jc w:val="left"/>
            </w:pPr>
            <w:r>
              <w:rPr>
                <w:b w:val="false"/>
                <w:bCs w:val="false"/>
                <w:color w:val="1A1A1A"/>
              </w:rPr>
              <w:t xml:space="preserve">Terminou com sucesso — nasce a empresa fornecedora.</w:t>
            </w:r>
          </w:p>
        </w:tc>
      </w:tr>
      <w:tr>
        <w:tc>
          <w:tcPr>
            <w:tcW w:type="dxa" w:w="2600"/>
            <w:tcMar>
              <w:top w:type="dxa" w:w="80"/>
              <w:left w:type="dxa" w:w="120"/>
              <w:bottom w:type="dxa" w:w="80"/>
              <w:right w:type="dxa" w:w="120"/>
            </w:tcMar>
            <w:vAlign w:val="center"/>
          </w:tcPr>
          <w:p>
            <w:pPr>
              <w:jc w:val="left"/>
            </w:pPr>
            <w:r>
              <w:rPr>
                <w:b w:val="false"/>
                <w:bCs w:val="false"/>
                <w:color w:val="1A1A1A"/>
              </w:rPr>
              <w:t xml:space="preserve">Rejeitada</w:t>
            </w:r>
          </w:p>
        </w:tc>
        <w:tc>
          <w:tcPr>
            <w:tcW w:type="dxa" w:w="7400"/>
            <w:tcMar>
              <w:top w:type="dxa" w:w="80"/>
              <w:left w:type="dxa" w:w="120"/>
              <w:bottom w:type="dxa" w:w="80"/>
              <w:right w:type="dxa" w:w="120"/>
            </w:tcMar>
            <w:vAlign w:val="center"/>
          </w:tcPr>
          <w:p>
            <w:pPr>
              <w:jc w:val="left"/>
            </w:pPr>
            <w:r>
              <w:rPr>
                <w:b w:val="false"/>
                <w:bCs w:val="false"/>
                <w:color w:val="1A1A1A"/>
              </w:rPr>
              <w:t xml:space="preserve">Não avançou.</w:t>
            </w:r>
          </w:p>
        </w:tc>
      </w:tr>
    </w:tbl>
    <w:p>
      <w:pPr>
        <w:spacing w:after="160"/>
      </w:pPr>
      <w:r>
        <w:t xml:space="preserve">Ao ser aprovada, a plataforma cria automaticamente a empresa (em estado Pendente, como qualquer cadastro — capítulo 3.1), regista a apólice Fornecedor→KIXIMA como submetida, e envia um convite de fundação ao futuro Administrador da Empresa.</w:t>
      </w:r>
    </w:p>
    <w:p>
      <w:pPr>
        <w:pBdr>
          <w:left w:val="single" w:color="B8862E" w:sz="24"/>
        </w:pBdr>
        <w:shd w:fill="F4F1EA" w:val="clear"/>
        <w:spacing w:after="200" w:before="80"/>
      </w:pPr>
      <w:r>
        <w:rPr>
          <w:b/>
          <w:bCs/>
          <w:color w:val="1B2A4A"/>
        </w:rPr>
        <w:t xml:space="preserve">Quem faz isto: </w:t>
      </w:r>
      <w:r>
        <w:t xml:space="preserve">a candidatura pode ser consultada publicamente pela sua referência, sem conta; a análise e aprovação são feitas pelo Admin do Sistema (área Suporte).</w:t>
      </w:r>
    </w:p>
    <w:p>
      <w:pPr>
        <w:pStyle w:val="Heading1"/>
        <w:pageBreakBefore/>
        <w:spacing w:after="240"/>
      </w:pPr>
      <w:r>
        <w:t xml:space="preserve">18. Avaliações e Feedback</w:t>
      </w:r>
    </w:p>
    <w:p>
      <w:pPr>
        <w:spacing w:after="160"/>
      </w:pPr>
      <w:r>
        <w:t xml:space="preserve">Além das avaliações de produto (capítulo 5.5), a plataforma recolhe feedback mais geral de qualquer utilizador autenticado, em várias categorias: Fornecedor, Produto, Serviço, Pedido, Entrega, Pagamento, Atendimento, ou Experiência Geral.</w:t>
      </w:r>
    </w:p>
    <w:p>
      <w:pPr>
        <w:spacing w:after="160"/>
      </w:pPr>
      <w:r>
        <w:t xml:space="preserve">O alvo de uma avaliação é sempre validado contra o histórico real da empresa que a submete — não é possível inventar um alvo com quem nunca se transacionou.</w:t>
      </w:r>
    </w:p>
    <w:p>
      <w:pPr>
        <w:spacing w:after="160"/>
      </w:pPr>
      <w:r>
        <w:t xml:space="preserve">Uma avaliação nasce sempre por aprovar; só passa a ser pública (por exemplo, na página inicial da KIXIMA) depois de um assessor de Suporte a aprovar. Rejeitar uma avaliação é simplesmente removê-la — não fica um terceiro estado "rejeitada" visível.</w:t>
      </w:r>
    </w:p>
    <w:p>
      <w:pPr>
        <w:pBdr>
          <w:left w:val="single" w:color="B8862E" w:sz="24"/>
        </w:pBdr>
        <w:shd w:fill="F4F1EA" w:val="clear"/>
        <w:spacing w:after="200" w:before="80"/>
      </w:pPr>
      <w:r>
        <w:rPr>
          <w:b/>
          <w:bCs/>
          <w:color w:val="1B2A4A"/>
        </w:rPr>
        <w:t xml:space="preserve">Quem faz isto: </w:t>
      </w:r>
      <w:r>
        <w:t xml:space="preserve">quem submete é qualquer utilizador autenticado de uma empresa; quem modera (aprova ou remove) é o Admin do Sistema (área Suporte).</w:t>
      </w:r>
    </w:p>
    <w:p>
      <w:pPr>
        <w:pStyle w:val="Heading1"/>
        <w:pageBreakBefore/>
        <w:spacing w:after="240"/>
      </w:pPr>
      <w:r>
        <w:t xml:space="preserve">19. Notificações</w:t>
      </w:r>
    </w:p>
    <w:p>
      <w:pPr>
        <w:spacing w:after="160"/>
      </w:pPr>
      <w:r>
        <w:t xml:space="preserve">A plataforma avisa automaticamente as pessoas certas em cada mudança relevante — dentro da aplicação e, consoante o tipo, também por email. Eis os avisos que existem:</w:t>
      </w:r>
    </w:p>
    <w:p>
      <w:pPr>
        <w:pStyle w:val="ListParagraph"/>
        <w:numPr>
          <w:ilvl w:val="0"/>
          <w:numId w:val="2"/>
        </w:numPr>
        <w:spacing w:after="80"/>
      </w:pPr>
      <w:r>
        <w:t xml:space="preserve">Ordem de compra a aguardar aprovação, aprovada, rejeitada, recusada pelo fornecedor, entregue, recebida em conformidade, concluída</w:t>
      </w:r>
    </w:p>
    <w:p>
      <w:pPr>
        <w:pStyle w:val="ListParagraph"/>
        <w:numPr>
          <w:ilvl w:val="0"/>
          <w:numId w:val="2"/>
        </w:numPr>
        <w:spacing w:after="80"/>
      </w:pPr>
      <w:r>
        <w:t xml:space="preserve">Ordem de compra recebida pelo fornecedor, receção com divergência, divergência resolvida</w:t>
      </w:r>
    </w:p>
    <w:p>
      <w:pPr>
        <w:pStyle w:val="ListParagraph"/>
        <w:numPr>
          <w:ilvl w:val="0"/>
          <w:numId w:val="2"/>
        </w:numPr>
        <w:spacing w:after="80"/>
      </w:pPr>
      <w:r>
        <w:t xml:space="preserve">Fatura gerada</w:t>
      </w:r>
    </w:p>
    <w:p>
      <w:pPr>
        <w:pStyle w:val="ListParagraph"/>
        <w:numPr>
          <w:ilvl w:val="0"/>
          <w:numId w:val="2"/>
        </w:numPr>
        <w:spacing w:after="80"/>
      </w:pPr>
      <w:r>
        <w:t xml:space="preserve">Nota de crédito emitida</w:t>
      </w:r>
    </w:p>
    <w:p>
      <w:pPr>
        <w:pStyle w:val="ListParagraph"/>
        <w:numPr>
          <w:ilvl w:val="0"/>
          <w:numId w:val="2"/>
        </w:numPr>
        <w:spacing w:after="80"/>
      </w:pPr>
      <w:r>
        <w:t xml:space="preserve">Pagamento processado</w:t>
      </w:r>
    </w:p>
    <w:p>
      <w:pPr>
        <w:pStyle w:val="ListParagraph"/>
        <w:numPr>
          <w:ilvl w:val="0"/>
          <w:numId w:val="2"/>
        </w:numPr>
        <w:spacing w:after="80"/>
      </w:pPr>
      <w:r>
        <w:t xml:space="preserve">Entrega despachada</w:t>
      </w:r>
    </w:p>
    <w:p>
      <w:pPr>
        <w:pStyle w:val="ListParagraph"/>
        <w:numPr>
          <w:ilvl w:val="0"/>
          <w:numId w:val="2"/>
        </w:numPr>
        <w:spacing w:after="80"/>
      </w:pPr>
      <w:r>
        <w:t xml:space="preserve">Candidatura de desenvolvimento de fornecedor recebida</w:t>
      </w:r>
    </w:p>
    <w:p>
      <w:pPr>
        <w:pStyle w:val="ListParagraph"/>
        <w:numPr>
          <w:ilvl w:val="0"/>
          <w:numId w:val="2"/>
        </w:numPr>
        <w:spacing w:after="80"/>
      </w:pPr>
      <w:r>
        <w:t xml:space="preserve">Apólice submetida/aprovada, apólice a expirar</w:t>
      </w:r>
    </w:p>
    <w:p>
      <w:pPr>
        <w:pStyle w:val="ListParagraph"/>
        <w:numPr>
          <w:ilvl w:val="0"/>
          <w:numId w:val="2"/>
        </w:numPr>
        <w:spacing w:after="80"/>
      </w:pPr>
      <w:r>
        <w:t xml:space="preserve">Cadastro de empresa aprovado ou rejeitado</w:t>
      </w:r>
    </w:p>
    <w:p>
      <w:pPr>
        <w:pStyle w:val="ListParagraph"/>
        <w:numPr>
          <w:ilvl w:val="0"/>
          <w:numId w:val="2"/>
        </w:numPr>
        <w:spacing w:after="80"/>
      </w:pPr>
      <w:r>
        <w:t xml:space="preserve">Comprovativo de subscrição carregado, subscrição confirmada, subscrição a expirar</w:t>
      </w:r>
    </w:p>
    <w:p>
      <w:pPr>
        <w:pStyle w:val="ListParagraph"/>
        <w:numPr>
          <w:ilvl w:val="0"/>
          <w:numId w:val="2"/>
        </w:numPr>
        <w:spacing w:after="80"/>
      </w:pPr>
      <w:r>
        <w:t xml:space="preserve">Mensagem de Suporte, mensagem de Chat Comercial</w:t>
      </w:r>
    </w:p>
    <w:p>
      <w:pPr>
        <w:pStyle w:val="ListParagraph"/>
        <w:numPr>
          <w:ilvl w:val="0"/>
          <w:numId w:val="2"/>
        </w:numPr>
        <w:spacing w:after="80"/>
      </w:pPr>
      <w:r>
        <w:t xml:space="preserve">Alerta de segurança (Trust &amp; Safety)</w:t>
      </w:r>
    </w:p>
    <w:p>
      <w:pPr>
        <w:spacing w:after="200" w:before="100"/>
      </w:pPr>
      <w:r>
        <w:rPr>
          <w:i/>
          <w:iCs/>
          <w:color w:val="5B5B5B"/>
        </w:rPr>
        <w:t xml:space="preserve">Nota: cada notificação pode ser só dentro da aplicação, só por email, ou ambos, consoante a sua urgência.</w:t>
      </w:r>
    </w:p>
    <w:p>
      <w:pPr>
        <w:pStyle w:val="Heading1"/>
        <w:pageBreakBefore/>
        <w:spacing w:after="240"/>
      </w:pPr>
      <w:r>
        <w:t xml:space="preserve">20. Segurança da Conta</w:t>
      </w:r>
    </w:p>
    <w:p>
      <w:pPr>
        <w:spacing w:after="160"/>
      </w:pPr>
      <w:r>
        <w:t xml:space="preserve">Este capítulo resume o que já foi introduzido na secção 3.4, do ponto de vista de quem gere a própria conta ou a segurança da plataforma.</w:t>
      </w:r>
    </w:p>
    <w:p>
      <w:pPr>
        <w:pStyle w:val="Heading2"/>
        <w:spacing w:after="160" w:before="300"/>
      </w:pPr>
      <w:r>
        <w:t xml:space="preserve">20.1 Autenticação de dois fatores (2FA)</w:t>
      </w:r>
    </w:p>
    <w:p>
      <w:pPr>
        <w:pStyle w:val="ListParagraph"/>
        <w:numPr>
          <w:ilvl w:val="0"/>
          <w:numId w:val="2"/>
        </w:numPr>
        <w:spacing w:after="80"/>
      </w:pPr>
      <w:r>
        <w:t xml:space="preserve">Dois métodos disponíveis: código por email, ou aplicação autenticadora (TOTP).</w:t>
      </w:r>
    </w:p>
    <w:p>
      <w:pPr>
        <w:pStyle w:val="ListParagraph"/>
        <w:numPr>
          <w:ilvl w:val="0"/>
          <w:numId w:val="2"/>
        </w:numPr>
        <w:spacing w:after="80"/>
      </w:pPr>
      <w:r>
        <w:t xml:space="preserve">Obrigatória para Administradores de Empresa e para o Admin do Sistema.</w:t>
      </w:r>
    </w:p>
    <w:p>
      <w:pPr>
        <w:pStyle w:val="ListParagraph"/>
        <w:numPr>
          <w:ilvl w:val="0"/>
          <w:numId w:val="2"/>
        </w:numPr>
        <w:spacing w:after="80"/>
      </w:pPr>
      <w:r>
        <w:t xml:space="preserve">Antes do prazo definido pela KIXIMA: só um aviso. Depois do prazo: sessão restrita a quem ainda não a ativou.</w:t>
      </w:r>
    </w:p>
    <w:p>
      <w:pPr>
        <w:pStyle w:val="ListParagraph"/>
        <w:numPr>
          <w:ilvl w:val="0"/>
          <w:numId w:val="2"/>
        </w:numPr>
        <w:spacing w:after="80"/>
      </w:pPr>
      <w:r>
        <w:t xml:space="preserve">O Admin do Sistema (área Operação da Plataforma) pode lembrar quem falta ativar — nunca a ativa em nome de outra pessoa.</w:t>
      </w:r>
    </w:p>
    <w:p>
      <w:pPr>
        <w:pStyle w:val="Heading2"/>
        <w:spacing w:after="160" w:before="300"/>
      </w:pPr>
      <w:r>
        <w:t xml:space="preserve">20.2 Bloqueio de conta</w:t>
      </w:r>
    </w:p>
    <w:p>
      <w:pPr>
        <w:spacing w:after="160"/>
      </w:pPr>
      <w:r>
        <w:t xml:space="preserve">Depois de várias tentativas seguidas de senha errada, a conta fica temporariamente bloqueada, por um tempo que aumenta a cada nova série de falhas. É sempre temporário, nunca permanente, e é uma proteção por conta — não afeta as restantes pessoas da mesma empresa mesmo que partilhem o mesmo endereço de internet.</w:t>
      </w:r>
    </w:p>
    <w:p>
      <w:pPr>
        <w:pStyle w:val="Heading1"/>
        <w:pageBreakBefore/>
        <w:spacing w:after="240"/>
      </w:pPr>
      <w:r>
        <w:t xml:space="preserve">21. Auditoria</w:t>
      </w:r>
    </w:p>
    <w:p>
      <w:pPr>
        <w:spacing w:after="160"/>
      </w:pPr>
      <w:r>
        <w:t xml:space="preserve">Todas as ações relevantes da plataforma ficam registadas de forma permanente — quem fez o quê, quando, e a partir de onde. É um registo de "só acrescentar": nada se apaga nem se corrige por cima, mesmo que a pessoa que praticou a ação deixe depois de existir na plataforma.</w:t>
      </w:r>
    </w:p>
    <w:p>
      <w:pPr>
        <w:spacing w:after="160"/>
      </w:pPr>
      <w:r>
        <w:t xml:space="preserve">Nas operações que envolvem dinheiro diretamente (pagamentos, notas de crédito, taxas), o registo de auditoria é escrito exatamente ao mesmo tempo que a própria operação — nunca um sem o outro.</w:t>
      </w:r>
    </w:p>
    <w:p>
      <w:pPr>
        <w:pBdr>
          <w:left w:val="single" w:color="B8862E" w:sz="24"/>
        </w:pBdr>
        <w:shd w:fill="F4F1EA" w:val="clear"/>
        <w:spacing w:after="200" w:before="80"/>
      </w:pPr>
      <w:r>
        <w:rPr>
          <w:b/>
          <w:bCs/>
          <w:color w:val="1B2A4A"/>
        </w:rPr>
        <w:t xml:space="preserve">Quem faz isto: </w:t>
      </w:r>
      <w:r>
        <w:t xml:space="preserve">consultável por qualquer Admin do Sistema, independentemente da sua área — é como se garante que quem vigia os outros administradores vê o rasto completo. A auditoria também é a base da história detalhada de cada ordem de compra, visível a quem a acompanha.</w:t>
      </w:r>
    </w:p>
    <w:p>
      <w:pPr>
        <w:pStyle w:val="Heading1"/>
        <w:pageBreakBefore/>
        <w:spacing w:after="240"/>
      </w:pPr>
      <w:r>
        <w:t xml:space="preserve">22. Perguntas Frequentes</w:t>
      </w:r>
    </w:p>
    <w:p>
      <w:pPr>
        <w:pStyle w:val="Heading2"/>
        <w:spacing w:after="160" w:before="300"/>
      </w:pPr>
      <w:r>
        <w:t xml:space="preserve">A minha empresa registou-se mas não consegue fazer nada. Porquê?</w:t>
      </w:r>
    </w:p>
    <w:p>
      <w:pPr>
        <w:spacing w:after="160"/>
      </w:pPr>
      <w:r>
        <w:t xml:space="preserve">A empresa está com toda a certeza ainda em estado Pendente — precisa de ser aprovada pelo Admin do Sistema depois de rever os documentos submetidos (capítulo 3.2). Se for uma empresa fornecedora, confirme também que a apólice Fornecedor→KIXIMA foi submetida.</w:t>
      </w:r>
    </w:p>
    <w:p>
      <w:pPr>
        <w:pStyle w:val="Heading2"/>
        <w:spacing w:after="160" w:before="300"/>
      </w:pPr>
      <w:r>
        <w:t xml:space="preserve">Convidei um colaborador mas ele diz que não recebeu o email.</w:t>
      </w:r>
    </w:p>
    <w:p>
      <w:pPr>
        <w:spacing w:after="160"/>
      </w:pPr>
      <w:r>
        <w:t xml:space="preserve">Verifique se o ambiente tem um fornecedor de email a sério configurado (ver AMBIENTE_TESTE.md) — sem isso, os emails ficam só no registo interno do servidor e nunca chegam a ninguém. Pode sempre reenviar o convite a partir de Usuários &amp; Perfis.</w:t>
      </w:r>
    </w:p>
    <w:p>
      <w:pPr>
        <w:pStyle w:val="Heading2"/>
        <w:spacing w:after="160" w:before="300"/>
      </w:pPr>
      <w:r>
        <w:t xml:space="preserve">Paguei o plano por um canal automático (EMIS/PayPay/banco) mas continua Pendente.</w:t>
      </w:r>
    </w:p>
    <w:p>
      <w:pPr>
        <w:spacing w:after="160"/>
      </w:pPr>
      <w:r>
        <w:t xml:space="preserve">Só o próprio gateway confirma este tipo de pagamento — nunca uma pessoa da KIXIMA. Se as credenciais desse canal ainda não estiverem configuradas no ambiente, o pagamento automático não está disponível; use a transferência bancária manual, que é sempre confirmada pelo Admin do Sistema depois de carregar o comprovativo.</w:t>
      </w:r>
    </w:p>
    <w:p>
      <w:pPr>
        <w:pStyle w:val="Heading2"/>
        <w:spacing w:after="160" w:before="300"/>
      </w:pPr>
      <w:r>
        <w:t xml:space="preserve">Uma ordem de compra ficou parada num estado. O que fazer?</w:t>
      </w:r>
    </w:p>
    <w:p>
      <w:pPr>
        <w:spacing w:after="160"/>
      </w:pPr>
      <w:r>
        <w:t xml:space="preserve">Confirme de quem é a vez de agir — a tabela do capítulo 7.1 diz exatamente quem tem de fazer o próximo passo em cada estado. A história completa de qualquer ordem (quem fez o quê e quando) está sempre disponível no seu detalhe.</w:t>
      </w:r>
    </w:p>
    <w:p>
      <w:pPr>
        <w:pStyle w:val="Heading2"/>
        <w:spacing w:after="160" w:before="300"/>
      </w:pPr>
      <w:r>
        <w:t xml:space="preserve">Recebi um aviso de que a minha subscrição está a expirar.</w:t>
      </w:r>
    </w:p>
    <w:p>
      <w:pPr>
        <w:spacing w:after="160"/>
      </w:pPr>
      <w:r>
        <w:t xml:space="preserve">A empresa continua a funcionar normalmente durante o período de tolerância (capítulo 13.3). Renove o plano em Subscrição antes de esse período terminar, para não perder acesso a funcionalidades premium.</w:t>
      </w:r>
    </w:p>
    <w:p>
      <w:pPr>
        <w:pStyle w:val="Heading1"/>
        <w:pageBreakBefore/>
        <w:spacing w:after="240"/>
      </w:pPr>
      <w:r>
        <w:t xml:space="preserve">Anexo A — Glossário de Estados</w:t>
      </w:r>
    </w:p>
    <w:p>
      <w:pPr>
        <w:spacing w:after="160"/>
      </w:pPr>
      <w:r>
        <w:t xml:space="preserve">Referência rápida de todos os estados usados na plataforma, por transação.</w:t>
      </w:r>
    </w:p>
    <w:p>
      <w:pPr>
        <w:pStyle w:val="Heading2"/>
        <w:spacing w:after="160" w:before="300"/>
      </w:pPr>
      <w:r>
        <w:t xml:space="preserve">Empresa</w:t>
      </w:r>
    </w:p>
    <w:p>
      <w:pPr>
        <w:pStyle w:val="ListParagraph"/>
        <w:numPr>
          <w:ilvl w:val="0"/>
          <w:numId w:val="2"/>
        </w:numPr>
        <w:spacing w:after="80"/>
      </w:pPr>
      <w:r>
        <w:t xml:space="preserve">Pendente</w:t>
      </w:r>
    </w:p>
    <w:p>
      <w:pPr>
        <w:pStyle w:val="ListParagraph"/>
        <w:numPr>
          <w:ilvl w:val="0"/>
          <w:numId w:val="2"/>
        </w:numPr>
        <w:spacing w:after="80"/>
      </w:pPr>
      <w:r>
        <w:t xml:space="preserve">Aprovada</w:t>
      </w:r>
    </w:p>
    <w:p>
      <w:pPr>
        <w:pStyle w:val="ListParagraph"/>
        <w:numPr>
          <w:ilvl w:val="0"/>
          <w:numId w:val="2"/>
        </w:numPr>
        <w:spacing w:after="80"/>
      </w:pPr>
      <w:r>
        <w:t xml:space="preserve">Rejeitada</w:t>
      </w:r>
    </w:p>
    <w:p>
      <w:pPr>
        <w:pStyle w:val="ListParagraph"/>
        <w:numPr>
          <w:ilvl w:val="0"/>
          <w:numId w:val="2"/>
        </w:numPr>
        <w:spacing w:after="80"/>
      </w:pPr>
      <w:r>
        <w:t xml:space="preserve">Suspensa</w:t>
      </w:r>
    </w:p>
    <w:p>
      <w:pPr>
        <w:pStyle w:val="Heading2"/>
        <w:spacing w:after="160" w:before="300"/>
      </w:pPr>
      <w:r>
        <w:t xml:space="preserve">Cotação</w:t>
      </w:r>
    </w:p>
    <w:p>
      <w:pPr>
        <w:pStyle w:val="ListParagraph"/>
        <w:numPr>
          <w:ilvl w:val="0"/>
          <w:numId w:val="2"/>
        </w:numPr>
        <w:spacing w:after="80"/>
      </w:pPr>
      <w:r>
        <w:t xml:space="preserve">Aberta</w:t>
      </w:r>
    </w:p>
    <w:p>
      <w:pPr>
        <w:pStyle w:val="ListParagraph"/>
        <w:numPr>
          <w:ilvl w:val="0"/>
          <w:numId w:val="2"/>
        </w:numPr>
        <w:spacing w:after="80"/>
      </w:pPr>
      <w:r>
        <w:t xml:space="preserve">Respondida</w:t>
      </w:r>
    </w:p>
    <w:p>
      <w:pPr>
        <w:pStyle w:val="ListParagraph"/>
        <w:numPr>
          <w:ilvl w:val="0"/>
          <w:numId w:val="2"/>
        </w:numPr>
        <w:spacing w:after="80"/>
      </w:pPr>
      <w:r>
        <w:t xml:space="preserve">Fechada</w:t>
      </w:r>
    </w:p>
    <w:p>
      <w:pPr>
        <w:pStyle w:val="Heading2"/>
        <w:spacing w:after="160" w:before="300"/>
      </w:pPr>
      <w:r>
        <w:t xml:space="preserve">Ordem de Compra</w:t>
      </w:r>
    </w:p>
    <w:p>
      <w:pPr>
        <w:pStyle w:val="ListParagraph"/>
        <w:numPr>
          <w:ilvl w:val="0"/>
          <w:numId w:val="2"/>
        </w:numPr>
        <w:spacing w:after="80"/>
      </w:pPr>
      <w:r>
        <w:t xml:space="preserve">Aguardando Aprovação</w:t>
      </w:r>
    </w:p>
    <w:p>
      <w:pPr>
        <w:pStyle w:val="ListParagraph"/>
        <w:numPr>
          <w:ilvl w:val="0"/>
          <w:numId w:val="2"/>
        </w:numPr>
        <w:spacing w:after="80"/>
      </w:pPr>
      <w:r>
        <w:t xml:space="preserve">Aprovada</w:t>
      </w:r>
    </w:p>
    <w:p>
      <w:pPr>
        <w:pStyle w:val="ListParagraph"/>
        <w:numPr>
          <w:ilvl w:val="0"/>
          <w:numId w:val="2"/>
        </w:numPr>
        <w:spacing w:after="80"/>
      </w:pPr>
      <w:r>
        <w:t xml:space="preserve">Rejeitada</w:t>
      </w:r>
    </w:p>
    <w:p>
      <w:pPr>
        <w:pStyle w:val="ListParagraph"/>
        <w:numPr>
          <w:ilvl w:val="0"/>
          <w:numId w:val="2"/>
        </w:numPr>
        <w:spacing w:after="80"/>
      </w:pPr>
      <w:r>
        <w:t xml:space="preserve">Recusada pelo Fornecedor</w:t>
      </w:r>
    </w:p>
    <w:p>
      <w:pPr>
        <w:pStyle w:val="ListParagraph"/>
        <w:numPr>
          <w:ilvl w:val="0"/>
          <w:numId w:val="2"/>
        </w:numPr>
        <w:spacing w:after="80"/>
      </w:pPr>
      <w:r>
        <w:t xml:space="preserve">Aguardando Pagamento</w:t>
      </w:r>
    </w:p>
    <w:p>
      <w:pPr>
        <w:pStyle w:val="ListParagraph"/>
        <w:numPr>
          <w:ilvl w:val="0"/>
          <w:numId w:val="2"/>
        </w:numPr>
        <w:spacing w:after="80"/>
      </w:pPr>
      <w:r>
        <w:t xml:space="preserve">Paga</w:t>
      </w:r>
    </w:p>
    <w:p>
      <w:pPr>
        <w:pStyle w:val="ListParagraph"/>
        <w:numPr>
          <w:ilvl w:val="0"/>
          <w:numId w:val="2"/>
        </w:numPr>
        <w:spacing w:after="80"/>
      </w:pPr>
      <w:r>
        <w:t xml:space="preserve">Em Execução</w:t>
      </w:r>
    </w:p>
    <w:p>
      <w:pPr>
        <w:pStyle w:val="ListParagraph"/>
        <w:numPr>
          <w:ilvl w:val="0"/>
          <w:numId w:val="2"/>
        </w:numPr>
        <w:spacing w:after="80"/>
      </w:pPr>
      <w:r>
        <w:t xml:space="preserve">Entregue</w:t>
      </w:r>
    </w:p>
    <w:p>
      <w:pPr>
        <w:pStyle w:val="ListParagraph"/>
        <w:numPr>
          <w:ilvl w:val="0"/>
          <w:numId w:val="2"/>
        </w:numPr>
        <w:spacing w:after="80"/>
      </w:pPr>
      <w:r>
        <w:t xml:space="preserve">Recebida Conforme</w:t>
      </w:r>
    </w:p>
    <w:p>
      <w:pPr>
        <w:pStyle w:val="ListParagraph"/>
        <w:numPr>
          <w:ilvl w:val="0"/>
          <w:numId w:val="2"/>
        </w:numPr>
        <w:spacing w:after="80"/>
      </w:pPr>
      <w:r>
        <w:t xml:space="preserve">Recebida com Divergência</w:t>
      </w:r>
    </w:p>
    <w:p>
      <w:pPr>
        <w:pStyle w:val="ListParagraph"/>
        <w:numPr>
          <w:ilvl w:val="0"/>
          <w:numId w:val="2"/>
        </w:numPr>
        <w:spacing w:after="80"/>
      </w:pPr>
      <w:r>
        <w:t xml:space="preserve">Concluída</w:t>
      </w:r>
    </w:p>
    <w:p>
      <w:pPr>
        <w:pStyle w:val="Heading2"/>
        <w:spacing w:after="160" w:before="300"/>
      </w:pPr>
      <w:r>
        <w:t xml:space="preserve">Contrato-Quadro</w:t>
      </w:r>
    </w:p>
    <w:p>
      <w:pPr>
        <w:pStyle w:val="ListParagraph"/>
        <w:numPr>
          <w:ilvl w:val="0"/>
          <w:numId w:val="2"/>
        </w:numPr>
        <w:spacing w:after="80"/>
      </w:pPr>
      <w:r>
        <w:t xml:space="preserve">Ativo</w:t>
      </w:r>
    </w:p>
    <w:p>
      <w:pPr>
        <w:pStyle w:val="ListParagraph"/>
        <w:numPr>
          <w:ilvl w:val="0"/>
          <w:numId w:val="2"/>
        </w:numPr>
        <w:spacing w:after="80"/>
      </w:pPr>
      <w:r>
        <w:t xml:space="preserve">Expirado</w:t>
      </w:r>
    </w:p>
    <w:p>
      <w:pPr>
        <w:pStyle w:val="ListParagraph"/>
        <w:numPr>
          <w:ilvl w:val="0"/>
          <w:numId w:val="2"/>
        </w:numPr>
        <w:spacing w:after="80"/>
      </w:pPr>
      <w:r>
        <w:t xml:space="preserve">Encerrado</w:t>
      </w:r>
    </w:p>
    <w:p>
      <w:pPr>
        <w:pStyle w:val="Heading2"/>
        <w:spacing w:after="160" w:before="300"/>
      </w:pPr>
      <w:r>
        <w:t xml:space="preserve">Fatura</w:t>
      </w:r>
    </w:p>
    <w:p>
      <w:pPr>
        <w:pStyle w:val="ListParagraph"/>
        <w:numPr>
          <w:ilvl w:val="0"/>
          <w:numId w:val="2"/>
        </w:numPr>
        <w:spacing w:after="80"/>
      </w:pPr>
      <w:r>
        <w:t xml:space="preserve">Pendente</w:t>
      </w:r>
    </w:p>
    <w:p>
      <w:pPr>
        <w:pStyle w:val="ListParagraph"/>
        <w:numPr>
          <w:ilvl w:val="0"/>
          <w:numId w:val="2"/>
        </w:numPr>
        <w:spacing w:after="80"/>
      </w:pPr>
      <w:r>
        <w:t xml:space="preserve">Paga</w:t>
      </w:r>
    </w:p>
    <w:p>
      <w:pPr>
        <w:pStyle w:val="ListParagraph"/>
        <w:numPr>
          <w:ilvl w:val="0"/>
          <w:numId w:val="2"/>
        </w:numPr>
        <w:spacing w:after="80"/>
      </w:pPr>
      <w:r>
        <w:t xml:space="preserve">Vencida</w:t>
      </w:r>
    </w:p>
    <w:p>
      <w:pPr>
        <w:pStyle w:val="ListParagraph"/>
        <w:numPr>
          <w:ilvl w:val="0"/>
          <w:numId w:val="2"/>
        </w:numPr>
        <w:spacing w:after="80"/>
      </w:pPr>
      <w:r>
        <w:t xml:space="preserve">Cancelada</w:t>
      </w:r>
    </w:p>
    <w:p>
      <w:pPr>
        <w:pStyle w:val="Heading2"/>
        <w:spacing w:after="160" w:before="300"/>
      </w:pPr>
      <w:r>
        <w:t xml:space="preserve">Pagamento</w:t>
      </w:r>
    </w:p>
    <w:p>
      <w:pPr>
        <w:pStyle w:val="ListParagraph"/>
        <w:numPr>
          <w:ilvl w:val="0"/>
          <w:numId w:val="2"/>
        </w:numPr>
        <w:spacing w:after="80"/>
      </w:pPr>
      <w:r>
        <w:t xml:space="preserve">Processado</w:t>
      </w:r>
    </w:p>
    <w:p>
      <w:pPr>
        <w:pStyle w:val="ListParagraph"/>
        <w:numPr>
          <w:ilvl w:val="0"/>
          <w:numId w:val="2"/>
        </w:numPr>
        <w:spacing w:after="80"/>
      </w:pPr>
      <w:r>
        <w:t xml:space="preserve">Falhou</w:t>
      </w:r>
    </w:p>
    <w:p>
      <w:pPr>
        <w:pStyle w:val="Heading2"/>
        <w:spacing w:after="160" w:before="300"/>
      </w:pPr>
      <w:r>
        <w:t xml:space="preserve">Linha de Extrato Bancário</w:t>
      </w:r>
    </w:p>
    <w:p>
      <w:pPr>
        <w:pStyle w:val="ListParagraph"/>
        <w:numPr>
          <w:ilvl w:val="0"/>
          <w:numId w:val="2"/>
        </w:numPr>
        <w:spacing w:after="80"/>
      </w:pPr>
      <w:r>
        <w:t xml:space="preserve">Por Conciliar</w:t>
      </w:r>
    </w:p>
    <w:p>
      <w:pPr>
        <w:pStyle w:val="ListParagraph"/>
        <w:numPr>
          <w:ilvl w:val="0"/>
          <w:numId w:val="2"/>
        </w:numPr>
        <w:spacing w:after="80"/>
      </w:pPr>
      <w:r>
        <w:t xml:space="preserve">Conciliada</w:t>
      </w:r>
    </w:p>
    <w:p>
      <w:pPr>
        <w:pStyle w:val="ListParagraph"/>
        <w:numPr>
          <w:ilvl w:val="0"/>
          <w:numId w:val="2"/>
        </w:numPr>
        <w:spacing w:after="80"/>
      </w:pPr>
      <w:r>
        <w:t xml:space="preserve">Sem Correspondência</w:t>
      </w:r>
    </w:p>
    <w:p>
      <w:pPr>
        <w:pStyle w:val="ListParagraph"/>
        <w:numPr>
          <w:ilvl w:val="0"/>
          <w:numId w:val="2"/>
        </w:numPr>
        <w:spacing w:after="80"/>
      </w:pPr>
      <w:r>
        <w:t xml:space="preserve">Divergente</w:t>
      </w:r>
    </w:p>
    <w:p>
      <w:pPr>
        <w:pStyle w:val="Heading2"/>
        <w:spacing w:after="160" w:before="300"/>
      </w:pPr>
      <w:r>
        <w:t xml:space="preserve">Taxa da Plataforma</w:t>
      </w:r>
    </w:p>
    <w:p>
      <w:pPr>
        <w:pStyle w:val="ListParagraph"/>
        <w:numPr>
          <w:ilvl w:val="0"/>
          <w:numId w:val="2"/>
        </w:numPr>
        <w:spacing w:after="80"/>
      </w:pPr>
      <w:r>
        <w:t xml:space="preserve">Pendente</w:t>
      </w:r>
    </w:p>
    <w:p>
      <w:pPr>
        <w:pStyle w:val="ListParagraph"/>
        <w:numPr>
          <w:ilvl w:val="0"/>
          <w:numId w:val="2"/>
        </w:numPr>
        <w:spacing w:after="80"/>
      </w:pPr>
      <w:r>
        <w:t xml:space="preserve">Cobrado</w:t>
      </w:r>
    </w:p>
    <w:p>
      <w:pPr>
        <w:pStyle w:val="Heading2"/>
        <w:spacing w:after="160" w:before="300"/>
      </w:pPr>
      <w:r>
        <w:t xml:space="preserve">Subscrição / Plano</w:t>
      </w:r>
    </w:p>
    <w:p>
      <w:pPr>
        <w:pStyle w:val="ListParagraph"/>
        <w:numPr>
          <w:ilvl w:val="0"/>
          <w:numId w:val="2"/>
        </w:numPr>
        <w:spacing w:after="80"/>
      </w:pPr>
      <w:r>
        <w:t xml:space="preserve">Pendente</w:t>
      </w:r>
    </w:p>
    <w:p>
      <w:pPr>
        <w:pStyle w:val="ListParagraph"/>
        <w:numPr>
          <w:ilvl w:val="0"/>
          <w:numId w:val="2"/>
        </w:numPr>
        <w:spacing w:after="80"/>
      </w:pPr>
      <w:r>
        <w:t xml:space="preserve">Comprovativo Enviado</w:t>
      </w:r>
    </w:p>
    <w:p>
      <w:pPr>
        <w:pStyle w:val="ListParagraph"/>
        <w:numPr>
          <w:ilvl w:val="0"/>
          <w:numId w:val="2"/>
        </w:numPr>
        <w:spacing w:after="80"/>
      </w:pPr>
      <w:r>
        <w:t xml:space="preserve">Confirmada</w:t>
      </w:r>
    </w:p>
    <w:p>
      <w:pPr>
        <w:pStyle w:val="ListParagraph"/>
        <w:numPr>
          <w:ilvl w:val="0"/>
          <w:numId w:val="2"/>
        </w:numPr>
        <w:spacing w:after="80"/>
      </w:pPr>
      <w:r>
        <w:t xml:space="preserve">Cancelada</w:t>
      </w:r>
    </w:p>
    <w:p>
      <w:pPr>
        <w:pStyle w:val="Heading2"/>
        <w:spacing w:after="160" w:before="300"/>
      </w:pPr>
      <w:r>
        <w:t xml:space="preserve">Apólice</w:t>
      </w:r>
    </w:p>
    <w:p>
      <w:pPr>
        <w:pStyle w:val="ListParagraph"/>
        <w:numPr>
          <w:ilvl w:val="0"/>
          <w:numId w:val="2"/>
        </w:numPr>
        <w:spacing w:after="80"/>
      </w:pPr>
      <w:r>
        <w:t xml:space="preserve">Submetida</w:t>
      </w:r>
    </w:p>
    <w:p>
      <w:pPr>
        <w:pStyle w:val="ListParagraph"/>
        <w:numPr>
          <w:ilvl w:val="0"/>
          <w:numId w:val="2"/>
        </w:numPr>
        <w:spacing w:after="80"/>
      </w:pPr>
      <w:r>
        <w:t xml:space="preserve">Aprovada</w:t>
      </w:r>
    </w:p>
    <w:p>
      <w:pPr>
        <w:pStyle w:val="ListParagraph"/>
        <w:numPr>
          <w:ilvl w:val="0"/>
          <w:numId w:val="2"/>
        </w:numPr>
        <w:spacing w:after="80"/>
      </w:pPr>
      <w:r>
        <w:t xml:space="preserve">Rejeitada</w:t>
      </w:r>
    </w:p>
    <w:p>
      <w:pPr>
        <w:pStyle w:val="ListParagraph"/>
        <w:numPr>
          <w:ilvl w:val="0"/>
          <w:numId w:val="2"/>
        </w:numPr>
        <w:spacing w:after="80"/>
      </w:pPr>
      <w:r>
        <w:t xml:space="preserve">Expirada</w:t>
      </w:r>
    </w:p>
    <w:p>
      <w:pPr>
        <w:pStyle w:val="Heading2"/>
        <w:spacing w:after="160" w:before="300"/>
      </w:pPr>
      <w:r>
        <w:t xml:space="preserve">Chat de Suporte</w:t>
      </w:r>
    </w:p>
    <w:p>
      <w:pPr>
        <w:pStyle w:val="ListParagraph"/>
        <w:numPr>
          <w:ilvl w:val="0"/>
          <w:numId w:val="2"/>
        </w:numPr>
        <w:spacing w:after="80"/>
      </w:pPr>
      <w:r>
        <w:t xml:space="preserve">Aberto</w:t>
      </w:r>
    </w:p>
    <w:p>
      <w:pPr>
        <w:pStyle w:val="ListParagraph"/>
        <w:numPr>
          <w:ilvl w:val="0"/>
          <w:numId w:val="2"/>
        </w:numPr>
        <w:spacing w:after="80"/>
      </w:pPr>
      <w:r>
        <w:t xml:space="preserve">Em Andamento</w:t>
      </w:r>
    </w:p>
    <w:p>
      <w:pPr>
        <w:pStyle w:val="ListParagraph"/>
        <w:numPr>
          <w:ilvl w:val="0"/>
          <w:numId w:val="2"/>
        </w:numPr>
        <w:spacing w:after="80"/>
      </w:pPr>
      <w:r>
        <w:t xml:space="preserve">Aguardando Resposta</w:t>
      </w:r>
    </w:p>
    <w:p>
      <w:pPr>
        <w:pStyle w:val="ListParagraph"/>
        <w:numPr>
          <w:ilvl w:val="0"/>
          <w:numId w:val="2"/>
        </w:numPr>
        <w:spacing w:after="80"/>
      </w:pPr>
      <w:r>
        <w:t xml:space="preserve">Resolvido</w:t>
      </w:r>
    </w:p>
    <w:p>
      <w:pPr>
        <w:pStyle w:val="ListParagraph"/>
        <w:numPr>
          <w:ilvl w:val="0"/>
          <w:numId w:val="2"/>
        </w:numPr>
        <w:spacing w:after="80"/>
      </w:pPr>
      <w:r>
        <w:t xml:space="preserve">Fechado</w:t>
      </w:r>
    </w:p>
    <w:p>
      <w:pPr>
        <w:pStyle w:val="Heading2"/>
        <w:spacing w:after="160" w:before="300"/>
      </w:pPr>
      <w:r>
        <w:t xml:space="preserve">Chat Comercial</w:t>
      </w:r>
    </w:p>
    <w:p>
      <w:pPr>
        <w:pStyle w:val="ListParagraph"/>
        <w:numPr>
          <w:ilvl w:val="0"/>
          <w:numId w:val="2"/>
        </w:numPr>
        <w:spacing w:after="80"/>
      </w:pPr>
      <w:r>
        <w:t xml:space="preserve">Aberta</w:t>
      </w:r>
    </w:p>
    <w:p>
      <w:pPr>
        <w:pStyle w:val="ListParagraph"/>
        <w:numPr>
          <w:ilvl w:val="0"/>
          <w:numId w:val="2"/>
        </w:numPr>
        <w:spacing w:after="80"/>
      </w:pPr>
      <w:r>
        <w:t xml:space="preserve">Fechada</w:t>
      </w:r>
    </w:p>
    <w:p>
      <w:pPr>
        <w:pStyle w:val="Heading2"/>
        <w:spacing w:after="160" w:before="300"/>
      </w:pPr>
      <w:r>
        <w:t xml:space="preserve">Alerta de Segurança</w:t>
      </w:r>
    </w:p>
    <w:p>
      <w:pPr>
        <w:pStyle w:val="ListParagraph"/>
        <w:numPr>
          <w:ilvl w:val="0"/>
          <w:numId w:val="2"/>
        </w:numPr>
        <w:spacing w:after="80"/>
      </w:pPr>
      <w:r>
        <w:t xml:space="preserve">Aberto</w:t>
      </w:r>
    </w:p>
    <w:p>
      <w:pPr>
        <w:pStyle w:val="ListParagraph"/>
        <w:numPr>
          <w:ilvl w:val="0"/>
          <w:numId w:val="2"/>
        </w:numPr>
        <w:spacing w:after="80"/>
      </w:pPr>
      <w:r>
        <w:t xml:space="preserve">Em Análise</w:t>
      </w:r>
    </w:p>
    <w:p>
      <w:pPr>
        <w:pStyle w:val="ListParagraph"/>
        <w:numPr>
          <w:ilvl w:val="0"/>
          <w:numId w:val="2"/>
        </w:numPr>
        <w:spacing w:after="80"/>
      </w:pPr>
      <w:r>
        <w:t xml:space="preserve">Falso Positivo</w:t>
      </w:r>
    </w:p>
    <w:p>
      <w:pPr>
        <w:pStyle w:val="ListParagraph"/>
        <w:numPr>
          <w:ilvl w:val="0"/>
          <w:numId w:val="2"/>
        </w:numPr>
        <w:spacing w:after="80"/>
      </w:pPr>
      <w:r>
        <w:t xml:space="preserve">Resolvido</w:t>
      </w:r>
    </w:p>
    <w:p>
      <w:pPr>
        <w:pStyle w:val="Heading2"/>
        <w:spacing w:after="160" w:before="300"/>
      </w:pPr>
      <w:r>
        <w:t xml:space="preserve">Desenvolvimento de Fornecedores</w:t>
      </w:r>
    </w:p>
    <w:p>
      <w:pPr>
        <w:pStyle w:val="ListParagraph"/>
        <w:numPr>
          <w:ilvl w:val="0"/>
          <w:numId w:val="2"/>
        </w:numPr>
        <w:spacing w:after="80"/>
      </w:pPr>
      <w:r>
        <w:t xml:space="preserve">Recebida</w:t>
      </w:r>
    </w:p>
    <w:p>
      <w:pPr>
        <w:pStyle w:val="ListParagraph"/>
        <w:numPr>
          <w:ilvl w:val="0"/>
          <w:numId w:val="2"/>
        </w:numPr>
        <w:spacing w:after="80"/>
      </w:pPr>
      <w:r>
        <w:t xml:space="preserve">Em Análise</w:t>
      </w:r>
    </w:p>
    <w:p>
      <w:pPr>
        <w:pStyle w:val="ListParagraph"/>
        <w:numPr>
          <w:ilvl w:val="0"/>
          <w:numId w:val="2"/>
        </w:numPr>
        <w:spacing w:after="80"/>
      </w:pPr>
      <w:r>
        <w:t xml:space="preserve">Em Acompanhamento</w:t>
      </w:r>
    </w:p>
    <w:p>
      <w:pPr>
        <w:pStyle w:val="ListParagraph"/>
        <w:numPr>
          <w:ilvl w:val="0"/>
          <w:numId w:val="2"/>
        </w:numPr>
        <w:spacing w:after="80"/>
      </w:pPr>
      <w:r>
        <w:t xml:space="preserve">Concluída</w:t>
      </w:r>
    </w:p>
    <w:p>
      <w:pPr>
        <w:pStyle w:val="ListParagraph"/>
        <w:numPr>
          <w:ilvl w:val="0"/>
          <w:numId w:val="2"/>
        </w:numPr>
        <w:spacing w:after="80"/>
      </w:pPr>
      <w:r>
        <w:t xml:space="preserve">Rejeitada</w:t>
      </w:r>
    </w:p>
    <w:p>
      <w:pPr>
        <w:pStyle w:val="Heading2"/>
        <w:spacing w:after="160" w:before="300"/>
      </w:pPr>
      <w:r>
        <w:t xml:space="preserve">Convite de Colaborador</w:t>
      </w:r>
    </w:p>
    <w:p>
      <w:pPr>
        <w:pStyle w:val="ListParagraph"/>
        <w:numPr>
          <w:ilvl w:val="0"/>
          <w:numId w:val="2"/>
        </w:numPr>
        <w:spacing w:after="80"/>
      </w:pPr>
      <w:r>
        <w:t xml:space="preserve">Pendente</w:t>
      </w:r>
    </w:p>
    <w:p>
      <w:pPr>
        <w:pStyle w:val="ListParagraph"/>
        <w:numPr>
          <w:ilvl w:val="0"/>
          <w:numId w:val="2"/>
        </w:numPr>
        <w:spacing w:after="80"/>
      </w:pPr>
      <w:r>
        <w:t xml:space="preserve">Aceito</w:t>
      </w:r>
    </w:p>
    <w:p>
      <w:pPr>
        <w:pStyle w:val="ListParagraph"/>
        <w:numPr>
          <w:ilvl w:val="0"/>
          <w:numId w:val="2"/>
        </w:numPr>
        <w:spacing w:after="80"/>
      </w:pPr>
      <w:r>
        <w:t xml:space="preserve">Expirado</w:t>
      </w:r>
    </w:p>
    <w:p>
      <w:pPr>
        <w:pStyle w:val="ListParagraph"/>
        <w:numPr>
          <w:ilvl w:val="0"/>
          <w:numId w:val="2"/>
        </w:numPr>
        <w:spacing w:after="80"/>
      </w:pPr>
      <w:r>
        <w:t xml:space="preserve">Cancelado</w:t>
      </w:r>
    </w:p>
    <w:sectPr>
      <w:headerReference w:type="default" r:id="rId7"/>
      <w:footerReference w:type="default" r:id="rId8"/>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5B"/>
        <w:sz w:val="16"/>
        <w:szCs w:val="16"/>
      </w:rPr>
      <w:t xml:space="preserve">Página </w:t>
    </w:r>
    <w:r>
      <w:rPr>
        <w:color w:val="5B5B5B"/>
        <w:sz w:val="16"/>
        <w:szCs w:val="16"/>
      </w:rPr>
      <w:fldChar w:fldCharType="begin"/>
      <w:instrText xml:space="preserve">PAGE</w:instrText>
      <w:fldChar w:fldCharType="separate"/>
      <w:fldChar w:fldCharType="end"/>
    </w:r>
    <w:r>
      <w:rPr>
        <w:color w:val="5B5B5B"/>
        <w:sz w:val="16"/>
        <w:szCs w:val="16"/>
      </w:rPr>
      <w:t xml:space="preserve"> de </w:t>
    </w:r>
    <w:r>
      <w:rPr>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B5B5B"/>
        <w:sz w:val="16"/>
        <w:szCs w:val="16"/>
      </w:rPr>
      <w:t xml:space="preserve">KIXIMA — Manual do Utilizador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2E" w:sz="6" w:space="8"/>
      </w:pBdr>
      <w:spacing w:after="240" w:before="0"/>
    </w:pPr>
    <w:rPr>
      <w:rFonts w:ascii="Calibri" w:cs="Calibri" w:eastAsia="Calibri" w:hAnsi="Calibri"/>
      <w:b/>
      <w:bCs/>
      <w:color w:val="1B2A4A"/>
      <w:sz w:val="32"/>
      <w:szCs w:val="32"/>
    </w:rPr>
  </w:style>
  <w:style w:type="paragraph" w:styleId="Heading2">
    <w:name w:val="Heading 2"/>
    <w:basedOn w:val="Normal"/>
    <w:next w:val="Normal"/>
    <w:qFormat/>
    <w:rPr>
      <w:rFonts w:ascii="Calibri" w:cs="Calibri" w:eastAsia="Calibri" w:hAnsi="Calibri"/>
      <w:b/>
      <w:bCs/>
      <w:color w:val="1B2A4A"/>
      <w:sz w:val="26"/>
      <w:szCs w:val="26"/>
    </w:rPr>
  </w:style>
  <w:style w:type="paragraph" w:styleId="Heading3">
    <w:name w:val="Heading 3"/>
    <w:basedOn w:val="Normal"/>
    <w:next w:val="Normal"/>
    <w:qFormat/>
    <w:rPr>
      <w:rFonts w:ascii="Calibri" w:cs="Calibri" w:eastAsia="Calibri" w:hAnsi="Calibri"/>
      <w:b/>
      <w:bCs/>
      <w:color w:val="B886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9d0e38ca934cc398f3b0c01445ca2e37e5ec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Utilizador — KIXIMA</dc:title>
  <dc:creator>KIXIMA</dc:creator>
  <dc:description>Manual do utilizador da plataforma KIXIMA: personas e todas as transações.</dc:description>
  <cp:lastModifiedBy>Un-named</cp:lastModifiedBy>
  <cp:revision>1</cp:revision>
  <dcterms:created xsi:type="dcterms:W3CDTF">2026-08-30T16:40:26.066Z</dcterms:created>
  <dcterms:modified xsi:type="dcterms:W3CDTF">2026-08-30T16:40:26.066Z</dcterms:modified>
</cp:coreProperties>
</file>

<file path=docProps/custom.xml><?xml version="1.0" encoding="utf-8"?>
<Properties xmlns="http://schemas.openxmlformats.org/officeDocument/2006/custom-properties" xmlns:vt="http://schemas.openxmlformats.org/officeDocument/2006/docPropsVTypes"/>
</file>