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Lora SemiBold" w:cs="Lora SemiBold" w:eastAsia="Lora SemiBold" w:hAnsi="Lora SemiBo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e59pfbb82uaz" w:id="0"/>
      <w:bookmarkEnd w:id="0"/>
      <w:r w:rsidDel="00000000" w:rsidR="00000000" w:rsidRPr="00000000">
        <w:rPr>
          <w:rFonts w:ascii="Lora SemiBold" w:cs="Lora SemiBold" w:eastAsia="Lora SemiBold" w:hAnsi="Lora SemiBo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набора данных / Data description</w:t>
      </w:r>
    </w:p>
    <w:p w:rsidR="00000000" w:rsidDel="00000000" w:rsidP="00000000" w:rsidRDefault="00000000" w:rsidRPr="00000000" w14:paraId="00000002">
      <w:pPr>
        <w:jc w:val="both"/>
        <w:rPr>
          <w:rFonts w:ascii="Lora SemiBold" w:cs="Lora SemiBold" w:eastAsia="Lora SemiBold" w:hAnsi="Lora SemiBold"/>
          <w:color w:val="e65639"/>
          <w:sz w:val="36"/>
          <w:szCs w:val="36"/>
        </w:rPr>
      </w:pPr>
      <w:r w:rsidDel="00000000" w:rsidR="00000000" w:rsidRPr="00000000">
        <w:rPr>
          <w:rFonts w:ascii="Lora SemiBold" w:cs="Lora SemiBold" w:eastAsia="Lora SemiBold" w:hAnsi="Lora SemiBold"/>
          <w:color w:val="e65639"/>
          <w:sz w:val="36"/>
          <w:szCs w:val="36"/>
          <w:rtl w:val="0"/>
        </w:rPr>
        <w:t xml:space="preserve">«СОЦИАЛЬНО-ЭКОНОМИЧЕСКИЕ ПОКАЗАТЕЛИ РЕГИОНОВ РОССИИ» / «SOCIO-ECONOMIC INDICATORS OF RUSSIAN REGIONS»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Lora SemiBold" w:cs="Lora SemiBold" w:eastAsia="Lora SemiBold" w:hAnsi="Lora SemiBo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ora SemiBold" w:cs="Lora SemiBold" w:eastAsia="Lora SemiBold" w:hAnsi="Lora SemiBo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История изменений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6"/>
        <w:gridCol w:w="1558"/>
        <w:gridCol w:w="3895"/>
        <w:gridCol w:w="2336"/>
        <w:tblGridChange w:id="0">
          <w:tblGrid>
            <w:gridCol w:w="1556"/>
            <w:gridCol w:w="1558"/>
            <w:gridCol w:w="3895"/>
            <w:gridCol w:w="23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7a9" w:val="clea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Lora" w:cs="Lora" w:eastAsia="Lora" w:hAnsi="Lor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7a9" w:val="clear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rFonts w:ascii="Lora" w:cs="Lora" w:eastAsia="Lora" w:hAnsi="Lor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Версия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7a9" w:val="clea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rFonts w:ascii="Lora" w:cs="Lora" w:eastAsia="Lora" w:hAnsi="Lor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7a9" w:val="clea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rFonts w:ascii="Lora" w:cs="Lora" w:eastAsia="Lora" w:hAnsi="Lor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Описание изменений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21.08.2023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Документ создан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Lora SemiBold" w:cs="Lora SemiBold" w:eastAsia="Lora SemiBold" w:hAnsi="Lora SemiBo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ora SemiBold" w:cs="Lora SemiBold" w:eastAsia="Lora SemiBold" w:hAnsi="Lora SemiBo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Общая информация о наборе данных</w:t>
      </w:r>
    </w:p>
    <w:p w:rsidR="00000000" w:rsidDel="00000000" w:rsidP="00000000" w:rsidRDefault="00000000" w:rsidRPr="00000000" w14:paraId="0000000E">
      <w:pPr>
        <w:jc w:val="both"/>
        <w:rPr>
          <w:rFonts w:ascii="Lora" w:cs="Lora" w:eastAsia="Lora" w:hAnsi="Lora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Данные по 495 показателям из сборников Росстата «Регионы России. Социально-экономические показатели», приведенные в формат удобных для работы плоских таблиц.</w:t>
      </w:r>
    </w:p>
    <w:p w:rsidR="00000000" w:rsidDel="00000000" w:rsidP="00000000" w:rsidRDefault="00000000" w:rsidRPr="00000000" w14:paraId="0000000F">
      <w:pPr>
        <w:jc w:val="both"/>
        <w:rPr>
          <w:rFonts w:ascii="Lora" w:cs="Lora" w:eastAsia="Lora" w:hAnsi="Lo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ora" w:cs="Lora" w:eastAsia="Lora" w:hAnsi="Lora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Показатели охватывают 21 раздел: Население, Труд, Уровень жизни населения, Образование, Здравоохранение, Культура, отдых и туризм, Земельные ресурсы и охрана окружающей природной среды, Валовой региональный продукт, Основные фонды, Инвестиции, Предприятия и организации, Промышленное производство, Сельское, лесное хозяйство, рыболовство и рыбоводство, Строительство, Торговля и услуги населению, Транспорт, Информационные и коммуникационные технологии, Наука и инновации, Финансы, Цены и тарифы, Внешняя торговля.</w:t>
      </w:r>
    </w:p>
    <w:p w:rsidR="00000000" w:rsidDel="00000000" w:rsidP="00000000" w:rsidRDefault="00000000" w:rsidRPr="00000000" w14:paraId="00000011">
      <w:pPr>
        <w:jc w:val="both"/>
        <w:rPr>
          <w:rFonts w:ascii="Lora" w:cs="Lora" w:eastAsia="Lora" w:hAnsi="Lo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Lora" w:cs="Lora" w:eastAsia="Lora" w:hAnsi="Lora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Единица наблюдения в наборе данных — это страна, федеральный округ или регион в конкретный год. Для каждого значения показателя приводятся сведения о единице измерения и методические комментарии, если они содержались в сборнике Росстата.</w:t>
      </w:r>
    </w:p>
    <w:p w:rsidR="00000000" w:rsidDel="00000000" w:rsidP="00000000" w:rsidRDefault="00000000" w:rsidRPr="00000000" w14:paraId="00000013">
      <w:pPr>
        <w:jc w:val="both"/>
        <w:rPr>
          <w:rFonts w:ascii="Lora" w:cs="Lora" w:eastAsia="Lora" w:hAnsi="Lo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Набор доступен для работы в формате CSV (кодировка: «UTF-8», разделитель: «;»). Набор данных охватывает 2000–2021 годы.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Lora SemiBold" w:cs="Lora SemiBold" w:eastAsia="Lora SemiBold" w:hAnsi="Lora SemiBo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ora SemiBold" w:cs="Lora SemiBold" w:eastAsia="Lora SemiBold" w:hAnsi="Lora SemiBo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Общее описание набора данных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3"/>
        <w:gridCol w:w="2411"/>
        <w:gridCol w:w="3821"/>
        <w:tblGridChange w:id="0">
          <w:tblGrid>
            <w:gridCol w:w="3113"/>
            <w:gridCol w:w="2411"/>
            <w:gridCol w:w="3821"/>
          </w:tblGrid>
        </w:tblGridChange>
      </w:tblGrid>
      <w:tr>
        <w:trPr>
          <w:cantSplit w:val="0"/>
          <w:tblHeader w:val="0"/>
        </w:trPr>
        <w:tc>
          <w:tcPr>
            <w:shd w:fill="f8b7a9" w:val="clear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Lora" w:cs="Lora" w:eastAsia="Lora" w:hAnsi="Lor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Атрибут </w:t>
            </w:r>
          </w:p>
        </w:tc>
        <w:tc>
          <w:tcPr>
            <w:gridSpan w:val="2"/>
            <w:shd w:fill="f8b7a9" w:val="clear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Lora" w:cs="Lora" w:eastAsia="Lora" w:hAnsi="Lor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Полное наименование набора данных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Lora" w:cs="Lora" w:eastAsia="Lora" w:hAnsi="Lora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Социально-экономические показатели регионов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Сокращенное наименование набора данных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Социально-экономические показатели регионов России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Краткое описание набора данных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Данные по 495 показателям из сборников Росстата «Регионы России. Социально-экономические показатели», приведенные в формат удобных для работы плоских таблиц.</w:t>
            </w:r>
          </w:p>
          <w:p w:rsidR="00000000" w:rsidDel="00000000" w:rsidP="00000000" w:rsidRDefault="00000000" w:rsidRPr="00000000" w14:paraId="00000024">
            <w:pPr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Показатели охватывают 21 раздел: Население, Труд, Уровень жизни населения, Образование, Здравоохранение, Культура, отдых и туризм, Земельные ресурсы и охрана окружающей природной среды, Валовой региональный продукт, Основные фонды, Инвестиции, Предприятия и организации, Промышленное производство, Сельское, лесное хозяйство, рыболовство и рыбоводство, Строительство, Торговля и услуги населению, Транспорт, Информационные и коммуникационные технологии, Наука и инновации, Финансы, Цены и тарифы, Внешняя торговля.</w:t>
            </w:r>
          </w:p>
          <w:p w:rsidR="00000000" w:rsidDel="00000000" w:rsidP="00000000" w:rsidRDefault="00000000" w:rsidRPr="00000000" w14:paraId="00000026">
            <w:pPr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Единица наблюдения в наборе данных — это страна, федеральный округ или регион в конкретный год. Для каждого значения показателя приводятся сведения о единице измерения и методические комментарии, если они содержались в сборнике Росстата.</w:t>
            </w:r>
          </w:p>
          <w:p w:rsidR="00000000" w:rsidDel="00000000" w:rsidP="00000000" w:rsidRDefault="00000000" w:rsidRPr="00000000" w14:paraId="00000028">
            <w:pPr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Набор доступен для работы в формате CSV (кодировка: «UTF-8», разделитель: «;»). Набор данных охватывает 2000–2021 годы.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Краткое описание источника набора данных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Сборник «Регионы России. Социально-экономические показатели» 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Доступные форматы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CSV (кодировка: «UTF-8», разделитель: «;»)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Размер набора данных для скачивания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6,2 МБ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Тематика набора данных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Регионы, Экономика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Периодичность публикации и обновления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Дата размещения в каталоге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22.08.2023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Покрываемый временной период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2000–2021</w:t>
            </w:r>
          </w:p>
        </w:tc>
      </w:tr>
      <w:tr>
        <w:trPr>
          <w:cantSplit w:val="0"/>
          <w:trHeight w:val="603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Дата последнего обновления набора данных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22.08.2023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Дополнительные сведения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Цитирование набора данных на русском языке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«Социально-экономические показатели регионов России» // Росстат; обработка: </w:t>
            </w: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«Если быть точным»</w:t>
            </w: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, 2023. URL: </w:t>
            </w:r>
            <w:hyperlink r:id="rId8">
              <w:r w:rsidDel="00000000" w:rsidR="00000000" w:rsidRPr="00000000">
                <w:rPr>
                  <w:rFonts w:ascii="Lora" w:cs="Lora" w:eastAsia="Lora" w:hAnsi="Lora"/>
                  <w:color w:val="0563c1"/>
                  <w:sz w:val="22"/>
                  <w:szCs w:val="22"/>
                  <w:u w:val="single"/>
                  <w:rtl w:val="0"/>
                </w:rPr>
                <w:t xml:space="preserve">https://tochno.st/</w:t>
              </w:r>
            </w:hyperlink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For references (English)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Socio-economic indicators of Russian regions // Rosstat (Russia); data-processing: </w:t>
            </w: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«To Be Precise»</w:t>
            </w: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, 2023. URL: </w:t>
            </w:r>
            <w:hyperlink r:id="rId9">
              <w:r w:rsidDel="00000000" w:rsidR="00000000" w:rsidRPr="00000000">
                <w:rPr>
                  <w:rFonts w:ascii="Lora" w:cs="Lora" w:eastAsia="Lora" w:hAnsi="Lora"/>
                  <w:color w:val="0563c1"/>
                  <w:sz w:val="22"/>
                  <w:szCs w:val="22"/>
                  <w:u w:val="single"/>
                  <w:rtl w:val="0"/>
                </w:rPr>
                <w:t xml:space="preserve">https://tochno.st/</w:t>
              </w:r>
            </w:hyperlink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Ссылка на открытый репозиторий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Lora" w:cs="Lora" w:eastAsia="Lora" w:hAnsi="Lora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https://github.com/tochno-st/regions_collection.git</w:t>
              </w:r>
            </w:hyperlink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Геоданные (пространственная привязка набора данных)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ОКТМО регионов и федеральных округов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Лицензия, под которой публикуется набор данных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3179</wp:posOffset>
                  </wp:positionH>
                  <wp:positionV relativeFrom="paragraph">
                    <wp:posOffset>635</wp:posOffset>
                  </wp:positionV>
                  <wp:extent cx="985520" cy="344178"/>
                  <wp:effectExtent b="0" l="0" r="0" t="0"/>
                  <wp:wrapSquare wrapText="bothSides" distB="0" distT="0" distL="114300" distR="114300"/>
                  <wp:docPr id="1809594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520" cy="3441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Creative Commons BY</w:t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rPr>
          <w:b w:val="1"/>
          <w:sz w:val="28"/>
          <w:szCs w:val="28"/>
        </w:rPr>
        <w:sectPr>
          <w:headerReference r:id="rId12" w:type="default"/>
          <w:headerReference r:id="rId13" w:type="first"/>
          <w:footerReference r:id="rId14" w:type="default"/>
          <w:footerReference r:id="rId15" w:type="first"/>
          <w:pgSz w:h="16838" w:w="11906" w:orient="portrait"/>
          <w:pgMar w:bottom="1134" w:top="1560" w:left="1701" w:right="851" w:header="0" w:foot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Lora SemiBold" w:cs="Lora SemiBold" w:eastAsia="Lora SemiBold" w:hAnsi="Lora SemiBo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ora SemiBold" w:cs="Lora SemiBold" w:eastAsia="Lora SemiBold" w:hAnsi="Lora SemiBo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Структура набора данных (Codebook)</w:t>
      </w:r>
    </w:p>
    <w:p w:rsidR="00000000" w:rsidDel="00000000" w:rsidP="00000000" w:rsidRDefault="00000000" w:rsidRPr="00000000" w14:paraId="00000057">
      <w:pPr>
        <w:rPr>
          <w:rFonts w:ascii="Lora" w:cs="Lora" w:eastAsia="Lora" w:hAnsi="Lora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Набор данных представлен в виде 21 таблицы по разным разделам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68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977"/>
        <w:gridCol w:w="5103"/>
        <w:gridCol w:w="2013"/>
        <w:gridCol w:w="2013"/>
        <w:gridCol w:w="2013"/>
        <w:tblGridChange w:id="0">
          <w:tblGrid>
            <w:gridCol w:w="562"/>
            <w:gridCol w:w="2977"/>
            <w:gridCol w:w="5103"/>
            <w:gridCol w:w="2013"/>
            <w:gridCol w:w="2013"/>
            <w:gridCol w:w="2013"/>
          </w:tblGrid>
        </w:tblGridChange>
      </w:tblGrid>
      <w:tr>
        <w:trPr>
          <w:cantSplit w:val="0"/>
          <w:tblHeader w:val="1"/>
        </w:trPr>
        <w:tc>
          <w:tcPr>
            <w:shd w:fill="f8b7a9" w:val="clear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Lora" w:cs="Lora" w:eastAsia="Lora" w:hAnsi="Lora"/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b w:val="1"/>
                    <w:sz w:val="22"/>
                    <w:szCs w:val="22"/>
                    <w:rtl w:val="0"/>
                  </w:rPr>
                  <w:t xml:space="preserve">№</w:t>
                </w:r>
              </w:sdtContent>
            </w:sdt>
          </w:p>
        </w:tc>
        <w:tc>
          <w:tcPr>
            <w:shd w:fill="f8b7a9" w:val="clea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Lora" w:cs="Lora" w:eastAsia="Lora" w:hAnsi="Lor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Атрибут / Column</w:t>
            </w:r>
          </w:p>
        </w:tc>
        <w:tc>
          <w:tcPr>
            <w:shd w:fill="f8b7a9" w:val="clea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Lora" w:cs="Lora" w:eastAsia="Lora" w:hAnsi="Lor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Описание / Description</w:t>
            </w:r>
          </w:p>
        </w:tc>
        <w:tc>
          <w:tcPr>
            <w:shd w:fill="f8b7a9" w:val="clear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Lora" w:cs="Lora" w:eastAsia="Lora" w:hAnsi="Lor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Число пропусков / Missing Values</w:t>
            </w:r>
          </w:p>
        </w:tc>
        <w:tc>
          <w:tcPr>
            <w:shd w:fill="f8b7a9" w:val="clea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Lora" w:cs="Lora" w:eastAsia="Lora" w:hAnsi="Lor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Единица измерения / Unit</w:t>
            </w:r>
          </w:p>
        </w:tc>
        <w:tc>
          <w:tcPr>
            <w:shd w:fill="f8b7a9" w:val="clea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Lora" w:cs="Lora" w:eastAsia="Lora" w:hAnsi="Lor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Тип / 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Раздел / Section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indicator_name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Показатель  / Indicator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indicator_unit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Единица измерения / Unit of measure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indicator_code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Код показателя / Indicator code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object_name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Название федерального округа или региона / Federal district or region name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object_level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Уровень (страна, федеральный округ, регион) / Level (country, federal district, region)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object_oktmo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Код ОКТМО / OKTMO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 code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object_okato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Код ОКАТО / OKATO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Год / 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indicator_value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Значение показателя / Indicator value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6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Методический комментарий / Methodological comment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6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A1">
      <w:pPr>
        <w:rPr>
          <w:sz w:val="22"/>
          <w:szCs w:val="22"/>
        </w:rPr>
        <w:sectPr>
          <w:type w:val="nextPage"/>
          <w:pgSz w:h="11906" w:w="16838" w:orient="landscape"/>
          <w:pgMar w:bottom="851" w:top="1701" w:left="1134" w:right="1134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ora SemiBold" w:cs="Lora SemiBold" w:eastAsia="Lora SemiBold" w:hAnsi="Lora SemiBo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Известные ограничения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Lora" w:cs="Lora" w:eastAsia="Lora" w:hAnsi="Lora"/>
          <w:sz w:val="22"/>
          <w:szCs w:val="22"/>
        </w:rPr>
        <w:sectPr>
          <w:footerReference r:id="rId16" w:type="default"/>
          <w:type w:val="nextPage"/>
          <w:pgSz w:h="16838" w:w="11906" w:orient="portrait"/>
          <w:pgMar w:bottom="1134" w:top="1134" w:left="1701" w:right="851" w:header="0" w:footer="0"/>
          <w:titlePg w:val="1"/>
        </w:sectPr>
      </w:pPr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Комментарии, касающиеся полноты данных по конкретным индикатором приведены в колонке </w:t>
      </w:r>
      <w:r w:rsidDel="00000000" w:rsidR="00000000" w:rsidRPr="00000000">
        <w:rPr>
          <w:rFonts w:ascii="Lora" w:cs="Lora" w:eastAsia="Lora" w:hAnsi="Lora"/>
          <w:b w:val="1"/>
          <w:sz w:val="22"/>
          <w:szCs w:val="22"/>
          <w:rtl w:val="0"/>
        </w:rPr>
        <w:t xml:space="preserve">comment</w:t>
      </w:r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Lora SemiBold" w:cs="Lora SemiBold" w:eastAsia="Lora SemiBold" w:hAnsi="Lora SemiBo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ora SemiBold" w:cs="Lora SemiBold" w:eastAsia="Lora SemiBold" w:hAnsi="Lora SemiBol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Источники данных</w:t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3"/>
        <w:gridCol w:w="6232"/>
        <w:tblGridChange w:id="0">
          <w:tblGrid>
            <w:gridCol w:w="3113"/>
            <w:gridCol w:w="6232"/>
          </w:tblGrid>
        </w:tblGridChange>
      </w:tblGrid>
      <w:tr>
        <w:trPr>
          <w:cantSplit w:val="0"/>
          <w:tblHeader w:val="0"/>
        </w:trPr>
        <w:tc>
          <w:tcPr>
            <w:shd w:fill="f8b7a9" w:val="clear"/>
          </w:tcPr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rFonts w:ascii="Lora" w:cs="Lora" w:eastAsia="Lora" w:hAnsi="Lor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Атрибут </w:t>
            </w:r>
          </w:p>
        </w:tc>
        <w:tc>
          <w:tcPr>
            <w:shd w:fill="f8b7a9" w:val="clear"/>
          </w:tcPr>
          <w:p w:rsidR="00000000" w:rsidDel="00000000" w:rsidP="00000000" w:rsidRDefault="00000000" w:rsidRPr="00000000" w14:paraId="000000A6">
            <w:pPr>
              <w:widowControl w:val="0"/>
              <w:jc w:val="both"/>
              <w:rPr>
                <w:rFonts w:ascii="Lora" w:cs="Lora" w:eastAsia="Lora" w:hAnsi="Lor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2"/>
                <w:szCs w:val="22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Наименование источника данных 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Сборник «Регионы России. Социально-экономические показатели» 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Владелец(ы) источника данных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Федеральная служба </w:t>
            </w: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государственной статистики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Краткое описание источника данных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«Сборник содержит данные о демографической и экологической ситуации в регионах России. Помещена информация о занятости населения и уровне его благосостояния. Представлены данные о валовом региональном продукте и фактическом конечном потреблении домашних хозяйств, приведены сведения, характеризующие основные области социальной сферы. Значительный интерес представляет статистика, освещающая положение в организациях отдельных видов экономической деятельности – промышленности, сельского и лесного хозяйства, рыболовства и рыбоводства, строительства, транспорта, в организациях, обслуживающих население. Публикуются статистические данные об индексах цен (тарифов) на товары и услуги в потребительском и производственном секторах экономики. В сборнике представлен раздел, характеризующий внешнюю торговлю». 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Ссылка на источник данных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rPr>
                <w:rFonts w:ascii="Lora" w:cs="Lora" w:eastAsia="Lora" w:hAnsi="Lora"/>
                <w:sz w:val="22"/>
                <w:szCs w:val="22"/>
              </w:rPr>
            </w:pPr>
            <w:hyperlink r:id="rId17">
              <w:r w:rsidDel="00000000" w:rsidR="00000000" w:rsidRPr="00000000">
                <w:rPr>
                  <w:rFonts w:ascii="Lora" w:cs="Lora" w:eastAsia="Lora" w:hAnsi="Lora"/>
                  <w:color w:val="1155cc"/>
                  <w:sz w:val="22"/>
                  <w:szCs w:val="22"/>
                  <w:u w:val="single"/>
                  <w:rtl w:val="0"/>
                </w:rPr>
                <w:t xml:space="preserve">https://rosstat.gov.ru/folder/210/document/13204</w:t>
              </w:r>
            </w:hyperlink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Nova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-1701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551420" cy="725805"/>
          <wp:effectExtent b="0" l="0" r="0" t="0"/>
          <wp:docPr id="180959458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1420" cy="7258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-1701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1049000" cy="768985"/>
          <wp:effectExtent b="0" l="0" r="0" t="0"/>
          <wp:docPr id="180959458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0" cy="7689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B6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Russian Classification of Territories of Municipal Formations.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-1701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-923921</wp:posOffset>
          </wp:positionH>
          <wp:positionV relativeFrom="paragraph">
            <wp:posOffset>219075</wp:posOffset>
          </wp:positionV>
          <wp:extent cx="2813447" cy="566738"/>
          <wp:effectExtent b="0" l="0" r="0" t="0"/>
          <wp:wrapNone/>
          <wp:docPr id="180959458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8" l="0" r="0" t="68"/>
                  <a:stretch>
                    <a:fillRect/>
                  </a:stretch>
                </pic:blipFill>
                <pic:spPr>
                  <a:xfrm>
                    <a:off x="0" y="0"/>
                    <a:ext cx="2813447" cy="5667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-1701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240" w:before="240" w:lineRule="auto"/>
      <w:jc w:val="center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240" w:before="240" w:lineRule="auto"/>
      <w:jc w:val="center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Lora" w:cs="Lora" w:eastAsia="Lora" w:hAnsi="Lor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Lora" w:cs="Lora" w:eastAsia="Lora" w:hAnsi="Lor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Lora" w:cs="Lora" w:eastAsia="Lora" w:hAnsi="Lor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Lora" w:cs="Lora" w:eastAsia="Lora" w:hAnsi="Lor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both"/>
    </w:pPr>
    <w:rPr>
      <w:rFonts w:ascii="Lora SemiBold" w:cs="Lora SemiBold" w:eastAsia="Lora SemiBold" w:hAnsi="Lora SemiBold"/>
      <w:sz w:val="28"/>
      <w:szCs w:val="28"/>
    </w:rPr>
  </w:style>
  <w:style w:type="paragraph" w:styleId="Heading2">
    <w:name w:val="heading 2"/>
    <w:basedOn w:val="Normal"/>
    <w:next w:val="Normal"/>
    <w:pPr>
      <w:spacing w:after="240" w:before="240" w:lineRule="auto"/>
      <w:jc w:val="center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rsid w:val="00AB6035"/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 w:val="1"/>
    <w:rsid w:val="00AB4956"/>
    <w:pPr>
      <w:keepNext w:val="1"/>
      <w:keepLines w:val="1"/>
      <w:spacing w:after="240" w:before="240"/>
      <w:jc w:val="both"/>
      <w:outlineLvl w:val="0"/>
    </w:pPr>
    <w:rPr>
      <w:rFonts w:eastAsiaTheme="majorEastAsia"/>
      <w:b w:val="1"/>
      <w:bCs w:val="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743654"/>
    <w:pPr>
      <w:spacing w:after="240" w:before="240"/>
      <w:jc w:val="center"/>
      <w:outlineLvl w:val="1"/>
    </w:pPr>
    <w:rPr>
      <w:b w:val="1"/>
      <w:bCs w:val="1"/>
      <w:i w:val="1"/>
      <w:iCs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qFormat w:val="1"/>
    <w:rsid w:val="00AB4956"/>
    <w:rPr>
      <w:rFonts w:ascii="Times New Roman" w:cs="Times New Roman" w:hAnsi="Times New Roman" w:eastAsiaTheme="majorEastAsia"/>
      <w:b w:val="1"/>
      <w:bCs w:val="1"/>
      <w:sz w:val="28"/>
      <w:szCs w:val="28"/>
    </w:rPr>
  </w:style>
  <w:style w:type="character" w:styleId="-" w:customStyle="1">
    <w:name w:val="Интернет-ссылка"/>
    <w:basedOn w:val="a0"/>
    <w:uiPriority w:val="99"/>
    <w:unhideWhenUsed w:val="1"/>
    <w:rsid w:val="00B17757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qFormat w:val="1"/>
    <w:rsid w:val="00AB4956"/>
    <w:rPr>
      <w:color w:val="605e5c"/>
      <w:shd w:color="auto" w:fill="e1dfdd" w:val="clear"/>
    </w:rPr>
  </w:style>
  <w:style w:type="character" w:styleId="20" w:customStyle="1">
    <w:name w:val="Заголовок 2 Знак"/>
    <w:basedOn w:val="a0"/>
    <w:link w:val="2"/>
    <w:uiPriority w:val="9"/>
    <w:qFormat w:val="1"/>
    <w:rsid w:val="00743654"/>
    <w:rPr>
      <w:rFonts w:ascii="Times New Roman" w:cs="Times New Roman" w:eastAsia="Times New Roman" w:hAnsi="Times New Roman"/>
      <w:b w:val="1"/>
      <w:bCs w:val="1"/>
      <w:i w:val="1"/>
      <w:iCs w:val="1"/>
      <w:sz w:val="24"/>
      <w:szCs w:val="24"/>
      <w:lang w:eastAsia="en-GB"/>
    </w:rPr>
  </w:style>
  <w:style w:type="character" w:styleId="a3" w:customStyle="1">
    <w:name w:val="Текст сноски Знак"/>
    <w:basedOn w:val="a0"/>
    <w:uiPriority w:val="99"/>
    <w:semiHidden w:val="1"/>
    <w:qFormat w:val="1"/>
    <w:rsid w:val="003F0127"/>
    <w:rPr>
      <w:sz w:val="20"/>
      <w:szCs w:val="20"/>
    </w:rPr>
  </w:style>
  <w:style w:type="character" w:styleId="a4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basedOn w:val="a0"/>
    <w:uiPriority w:val="99"/>
    <w:semiHidden w:val="1"/>
    <w:unhideWhenUsed w:val="1"/>
    <w:qFormat w:val="1"/>
    <w:rsid w:val="003F0127"/>
    <w:rPr>
      <w:vertAlign w:val="superscript"/>
    </w:rPr>
  </w:style>
  <w:style w:type="character" w:styleId="a5" w:customStyle="1">
    <w:name w:val="Посещённая гиперссылка"/>
    <w:basedOn w:val="a0"/>
    <w:uiPriority w:val="99"/>
    <w:semiHidden w:val="1"/>
    <w:unhideWhenUsed w:val="1"/>
    <w:rsid w:val="00AF171A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a0"/>
    <w:uiPriority w:val="99"/>
    <w:semiHidden w:val="1"/>
    <w:qFormat w:val="1"/>
    <w:rsid w:val="00FE7432"/>
    <w:rPr>
      <w:rFonts w:ascii="Courier New" w:cs="Courier New" w:eastAsia="Times New Roman" w:hAnsi="Courier New"/>
      <w:sz w:val="20"/>
      <w:szCs w:val="20"/>
      <w:lang w:eastAsia="en-GB"/>
    </w:rPr>
  </w:style>
  <w:style w:type="character" w:styleId="HTML0">
    <w:name w:val="HTML Code"/>
    <w:basedOn w:val="a0"/>
    <w:uiPriority w:val="99"/>
    <w:semiHidden w:val="1"/>
    <w:unhideWhenUsed w:val="1"/>
    <w:qFormat w:val="1"/>
    <w:rsid w:val="00FE7432"/>
    <w:rPr>
      <w:rFonts w:ascii="Courier New" w:cs="Courier New" w:eastAsia="Times New Roman" w:hAnsi="Courier New"/>
      <w:sz w:val="20"/>
      <w:szCs w:val="20"/>
    </w:rPr>
  </w:style>
  <w:style w:type="character" w:styleId="a6">
    <w:name w:val="annotation reference"/>
    <w:basedOn w:val="a0"/>
    <w:uiPriority w:val="99"/>
    <w:semiHidden w:val="1"/>
    <w:unhideWhenUsed w:val="1"/>
    <w:qFormat w:val="1"/>
    <w:rsid w:val="00E2572E"/>
    <w:rPr>
      <w:sz w:val="18"/>
      <w:szCs w:val="18"/>
    </w:rPr>
  </w:style>
  <w:style w:type="character" w:styleId="a7" w:customStyle="1">
    <w:name w:val="Текст примечания Знак"/>
    <w:basedOn w:val="a0"/>
    <w:uiPriority w:val="99"/>
    <w:semiHidden w:val="1"/>
    <w:qFormat w:val="1"/>
    <w:rsid w:val="00E2572E"/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styleId="a8" w:customStyle="1">
    <w:name w:val="Тема примечания Знак"/>
    <w:basedOn w:val="a7"/>
    <w:uiPriority w:val="99"/>
    <w:semiHidden w:val="1"/>
    <w:qFormat w:val="1"/>
    <w:rsid w:val="00E2572E"/>
    <w:rPr>
      <w:rFonts w:ascii="Times New Roman" w:cs="Times New Roman" w:eastAsia="Times New Roman" w:hAnsi="Times New Roman"/>
      <w:b w:val="1"/>
      <w:bCs w:val="1"/>
      <w:sz w:val="20"/>
      <w:szCs w:val="20"/>
      <w:lang w:eastAsia="en-GB"/>
    </w:rPr>
  </w:style>
  <w:style w:type="character" w:styleId="a9" w:customStyle="1">
    <w:name w:val="Текст выноски Знак"/>
    <w:basedOn w:val="a0"/>
    <w:uiPriority w:val="99"/>
    <w:semiHidden w:val="1"/>
    <w:qFormat w:val="1"/>
    <w:rsid w:val="00E2572E"/>
    <w:rPr>
      <w:rFonts w:ascii="Times New Roman" w:cs="Times New Roman" w:eastAsia="Times New Roman" w:hAnsi="Times New Roman"/>
      <w:sz w:val="18"/>
      <w:szCs w:val="18"/>
      <w:lang w:eastAsia="en-GB"/>
    </w:rPr>
  </w:style>
  <w:style w:type="character" w:styleId="21" w:customStyle="1">
    <w:name w:val="Неразрешенное упоминание2"/>
    <w:basedOn w:val="a0"/>
    <w:uiPriority w:val="99"/>
    <w:qFormat w:val="1"/>
    <w:rsid w:val="00F25864"/>
    <w:rPr>
      <w:color w:val="605e5c"/>
      <w:shd w:color="auto" w:fill="e1dfdd" w:val="clear"/>
    </w:rPr>
  </w:style>
  <w:style w:type="character" w:styleId="aa" w:customStyle="1">
    <w:name w:val="Ссылка указателя"/>
    <w:qFormat w:val="1"/>
  </w:style>
  <w:style w:type="paragraph" w:styleId="ab">
    <w:name w:val="Title"/>
    <w:basedOn w:val="a"/>
    <w:next w:val="ac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 w:val="1"/>
    <w:pPr>
      <w:suppressLineNumbers w:val="1"/>
      <w:spacing w:after="120" w:before="120"/>
    </w:pPr>
    <w:rPr>
      <w:rFonts w:cs="Arial"/>
      <w:i w:val="1"/>
      <w:iCs w:val="1"/>
    </w:rPr>
  </w:style>
  <w:style w:type="paragraph" w:styleId="af">
    <w:name w:val="index heading"/>
    <w:basedOn w:val="a"/>
    <w:qFormat w:val="1"/>
    <w:pPr>
      <w:suppressLineNumbers w:val="1"/>
    </w:pPr>
    <w:rPr>
      <w:rFonts w:cs="Arial"/>
    </w:rPr>
  </w:style>
  <w:style w:type="paragraph" w:styleId="af0">
    <w:name w:val="TOC Heading"/>
    <w:basedOn w:val="1"/>
    <w:next w:val="a"/>
    <w:uiPriority w:val="39"/>
    <w:unhideWhenUsed w:val="1"/>
    <w:qFormat w:val="1"/>
    <w:rsid w:val="00B17757"/>
    <w:pPr>
      <w:spacing w:after="0"/>
    </w:pPr>
    <w:rPr>
      <w:rFonts w:asciiTheme="majorHAnsi" w:cstheme="majorBidi" w:hAnsiTheme="majorHAnsi"/>
      <w:b w:val="0"/>
      <w:bCs w:val="0"/>
      <w:color w:val="2f5496" w:themeColor="accent1" w:themeShade="0000BF"/>
      <w:sz w:val="32"/>
      <w:szCs w:val="32"/>
      <w:lang w:eastAsia="ru-RU"/>
    </w:rPr>
  </w:style>
  <w:style w:type="paragraph" w:styleId="12">
    <w:name w:val="toc 1"/>
    <w:basedOn w:val="a"/>
    <w:next w:val="a"/>
    <w:autoRedefine w:val="1"/>
    <w:uiPriority w:val="39"/>
    <w:unhideWhenUsed w:val="1"/>
    <w:rsid w:val="00772DF7"/>
    <w:pPr>
      <w:tabs>
        <w:tab w:val="right" w:leader="dot" w:pos="9345"/>
      </w:tabs>
      <w:spacing w:after="100"/>
    </w:pPr>
  </w:style>
  <w:style w:type="paragraph" w:styleId="af1">
    <w:name w:val="List Paragraph"/>
    <w:basedOn w:val="a"/>
    <w:uiPriority w:val="34"/>
    <w:qFormat w:val="1"/>
    <w:rsid w:val="00E2350A"/>
    <w:pPr>
      <w:ind w:left="720"/>
      <w:contextualSpacing w:val="1"/>
    </w:pPr>
  </w:style>
  <w:style w:type="paragraph" w:styleId="22">
    <w:name w:val="toc 2"/>
    <w:basedOn w:val="a"/>
    <w:next w:val="a"/>
    <w:autoRedefine w:val="1"/>
    <w:uiPriority w:val="39"/>
    <w:unhideWhenUsed w:val="1"/>
    <w:rsid w:val="00E74C40"/>
    <w:pPr>
      <w:spacing w:after="100"/>
      <w:ind w:left="220"/>
    </w:pPr>
  </w:style>
  <w:style w:type="paragraph" w:styleId="af2">
    <w:name w:val="footnote text"/>
    <w:basedOn w:val="a"/>
    <w:uiPriority w:val="99"/>
    <w:semiHidden w:val="1"/>
    <w:unhideWhenUsed w:val="1"/>
    <w:rsid w:val="003F0127"/>
    <w:rPr>
      <w:sz w:val="20"/>
      <w:szCs w:val="20"/>
    </w:rPr>
  </w:style>
  <w:style w:type="paragraph" w:styleId="af3">
    <w:name w:val="Normal (Web)"/>
    <w:basedOn w:val="a"/>
    <w:uiPriority w:val="99"/>
    <w:semiHidden w:val="1"/>
    <w:unhideWhenUsed w:val="1"/>
    <w:qFormat w:val="1"/>
    <w:rsid w:val="00AB6035"/>
    <w:pPr>
      <w:spacing w:afterAutospacing="1" w:beforeAutospacing="1"/>
    </w:pPr>
  </w:style>
  <w:style w:type="paragraph" w:styleId="HTML1">
    <w:name w:val="HTML Preformatted"/>
    <w:basedOn w:val="a"/>
    <w:uiPriority w:val="99"/>
    <w:semiHidden w:val="1"/>
    <w:unhideWhenUsed w:val="1"/>
    <w:qFormat w:val="1"/>
    <w:rsid w:val="00FE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af4">
    <w:name w:val="annotation text"/>
    <w:basedOn w:val="a"/>
    <w:uiPriority w:val="99"/>
    <w:semiHidden w:val="1"/>
    <w:unhideWhenUsed w:val="1"/>
    <w:qFormat w:val="1"/>
    <w:rsid w:val="00E2572E"/>
  </w:style>
  <w:style w:type="paragraph" w:styleId="af5">
    <w:name w:val="annotation subject"/>
    <w:basedOn w:val="af4"/>
    <w:next w:val="af4"/>
    <w:uiPriority w:val="99"/>
    <w:semiHidden w:val="1"/>
    <w:unhideWhenUsed w:val="1"/>
    <w:qFormat w:val="1"/>
    <w:rsid w:val="00E2572E"/>
    <w:rPr>
      <w:b w:val="1"/>
      <w:bCs w:val="1"/>
      <w:sz w:val="20"/>
      <w:szCs w:val="20"/>
    </w:rPr>
  </w:style>
  <w:style w:type="paragraph" w:styleId="af6">
    <w:name w:val="Balloon Text"/>
    <w:basedOn w:val="a"/>
    <w:uiPriority w:val="99"/>
    <w:semiHidden w:val="1"/>
    <w:unhideWhenUsed w:val="1"/>
    <w:qFormat w:val="1"/>
    <w:rsid w:val="00E2572E"/>
    <w:rPr>
      <w:sz w:val="18"/>
      <w:szCs w:val="18"/>
    </w:rPr>
  </w:style>
  <w:style w:type="paragraph" w:styleId="af7" w:customStyle="1">
    <w:name w:val="Содержимое таблицы"/>
    <w:basedOn w:val="a"/>
    <w:qFormat w:val="1"/>
    <w:pPr>
      <w:widowControl w:val="0"/>
      <w:suppressLineNumbers w:val="1"/>
    </w:pPr>
  </w:style>
  <w:style w:type="paragraph" w:styleId="af8" w:customStyle="1">
    <w:name w:val="Заголовок таблицы"/>
    <w:basedOn w:val="af7"/>
    <w:qFormat w:val="1"/>
    <w:pPr>
      <w:jc w:val="center"/>
    </w:pPr>
    <w:rPr>
      <w:b w:val="1"/>
      <w:bCs w:val="1"/>
    </w:rPr>
  </w:style>
  <w:style w:type="table" w:styleId="af9">
    <w:name w:val="Table Grid"/>
    <w:basedOn w:val="a1"/>
    <w:uiPriority w:val="39"/>
    <w:rsid w:val="00151AE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a">
    <w:name w:val="header"/>
    <w:basedOn w:val="a"/>
    <w:link w:val="afb"/>
    <w:uiPriority w:val="99"/>
    <w:unhideWhenUsed w:val="1"/>
    <w:rsid w:val="00FC3F35"/>
    <w:pPr>
      <w:tabs>
        <w:tab w:val="center" w:pos="4677"/>
        <w:tab w:val="right" w:pos="9355"/>
      </w:tabs>
    </w:pPr>
  </w:style>
  <w:style w:type="character" w:styleId="afb" w:customStyle="1">
    <w:name w:val="Верхний колонтитул Знак"/>
    <w:basedOn w:val="a0"/>
    <w:link w:val="afa"/>
    <w:uiPriority w:val="99"/>
    <w:rsid w:val="00FC3F35"/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afc">
    <w:name w:val="footer"/>
    <w:basedOn w:val="a"/>
    <w:link w:val="afd"/>
    <w:uiPriority w:val="99"/>
    <w:unhideWhenUsed w:val="1"/>
    <w:rsid w:val="00FC3F35"/>
    <w:pPr>
      <w:tabs>
        <w:tab w:val="center" w:pos="4677"/>
        <w:tab w:val="right" w:pos="9355"/>
      </w:tabs>
    </w:pPr>
  </w:style>
  <w:style w:type="character" w:styleId="afd" w:customStyle="1">
    <w:name w:val="Нижний колонтитул Знак"/>
    <w:basedOn w:val="a0"/>
    <w:link w:val="afc"/>
    <w:uiPriority w:val="99"/>
    <w:rsid w:val="00FC3F35"/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styleId="afe">
    <w:name w:val="footnote reference"/>
    <w:basedOn w:val="a0"/>
    <w:uiPriority w:val="99"/>
    <w:semiHidden w:val="1"/>
    <w:unhideWhenUsed w:val="1"/>
    <w:rsid w:val="00C40477"/>
    <w:rPr>
      <w:vertAlign w:val="superscript"/>
    </w:rPr>
  </w:style>
  <w:style w:type="character" w:styleId="aff">
    <w:name w:val="Hyperlink"/>
    <w:basedOn w:val="a0"/>
    <w:uiPriority w:val="99"/>
    <w:unhideWhenUsed w:val="1"/>
    <w:rsid w:val="00B85B8E"/>
    <w:rPr>
      <w:color w:val="0563c1" w:themeColor="hyperlink"/>
      <w:u w:val="single"/>
    </w:rPr>
  </w:style>
  <w:style w:type="character" w:styleId="aff0">
    <w:name w:val="Unresolved Mention"/>
    <w:basedOn w:val="a0"/>
    <w:uiPriority w:val="99"/>
    <w:semiHidden w:val="1"/>
    <w:unhideWhenUsed w:val="1"/>
    <w:rsid w:val="00D8602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hub.com/tochno-st/regions_collection.git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tochno.st/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17" Type="http://schemas.openxmlformats.org/officeDocument/2006/relationships/hyperlink" Target="https://rosstat.gov.ru/folder/210/document/13204" TargetMode="External"/><Relationship Id="rId16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tochno.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11" Type="http://schemas.openxmlformats.org/officeDocument/2006/relationships/font" Target="fonts/NovaMono-regular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tsgqzxzOpIyDPFRLayirPPxXTQ==">CgMxLjAaHAoBMBIXChUIB0IRCgRMb3JhEglOb3ZhIE1vbm8yDmguZTU5cGZiYjgydWF6OAByITFiM0FqNHFMZ2lMQTlDcXZramJPYjA3Qms2c1ZQeDRoVQ==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2021-06-29T17:24:00Z</dcterms:created>
  <dc:creator>Kopytok Vitovt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0x010100CCCCF4984ECF0F47BFBD61ED327FFE95</vt:lpwstr>
  </property>
</Properties>
</file>