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"/>
        <w:numPr>
          <w:ilvl w:val="0"/>
          <w:numId w:val="1"/>
        </w:numPr>
        <w:spacing w:line="440" w:lineRule="exact"/>
        <w:rPr>
          <w:rFonts w:hint="eastAsia" w:ascii="Times New Roman Regular" w:hAnsi="Times New Roman Regular" w:eastAsia="宋体" w:cs="Times New Roman Regular"/>
          <w:b/>
          <w:bCs/>
          <w:sz w:val="30"/>
          <w:szCs w:val="30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/>
          <w:bCs/>
          <w:sz w:val="30"/>
          <w:szCs w:val="30"/>
          <w:highlight w:val="none"/>
          <w:lang w:val="en-US" w:eastAsia="zh-CN"/>
        </w:rPr>
        <w:t>K线规则</w:t>
      </w:r>
    </w:p>
    <w:p>
      <w:pPr>
        <w:pStyle w:val="3"/>
        <w:numPr>
          <w:ilvl w:val="0"/>
          <w:numId w:val="2"/>
        </w:numPr>
        <w:spacing w:line="440" w:lineRule="exact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1140460</wp:posOffset>
            </wp:positionH>
            <wp:positionV relativeFrom="paragraph">
              <wp:posOffset>350520</wp:posOffset>
            </wp:positionV>
            <wp:extent cx="103505" cy="440055"/>
            <wp:effectExtent l="0" t="0" r="23495" b="17145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3505" cy="4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几种重要K线含义</w:t>
      </w:r>
    </w:p>
    <w:p>
      <w:pPr>
        <w:pStyle w:val="3"/>
        <w:numPr>
          <w:ilvl w:val="0"/>
          <w:numId w:val="0"/>
        </w:numPr>
        <w:spacing w:line="440" w:lineRule="exact"/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①、长下影阳线</w:t>
      </w:r>
    </w:p>
    <w:p>
      <w:pPr>
        <w:pStyle w:val="3"/>
        <w:spacing w:line="440" w:lineRule="exact"/>
        <w:ind w:firstLine="480" w:firstLineChars="200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多方完爆空方，后期看涨。</w:t>
      </w:r>
    </w:p>
    <w:p>
      <w:pPr>
        <w:pStyle w:val="3"/>
        <w:spacing w:line="440" w:lineRule="exact"/>
        <w:ind w:firstLine="480" w:firstLineChars="200"/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1259840</wp:posOffset>
            </wp:positionH>
            <wp:positionV relativeFrom="paragraph">
              <wp:posOffset>802005</wp:posOffset>
            </wp:positionV>
            <wp:extent cx="111125" cy="462280"/>
            <wp:effectExtent l="0" t="0" r="15875" b="2032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1125" cy="46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此图形多出现于连续下跌的底部，或者连续上涨大幅回撤的尾声。出现此图形后，第二天大概率高开回落，不要追。不要盯着第二天的k线，要盯住后面5-7根的k线是看涨的。</w:t>
      </w:r>
    </w:p>
    <w:p>
      <w:pPr>
        <w:pStyle w:val="3"/>
        <w:spacing w:line="440" w:lineRule="exact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②、长上影阳线</w:t>
      </w:r>
    </w:p>
    <w:p>
      <w:pPr>
        <w:pStyle w:val="3"/>
        <w:spacing w:line="440" w:lineRule="exact"/>
        <w:ind w:firstLine="480" w:firstLineChars="200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多方试盘遇阻回落，支撑不破看涨。</w:t>
      </w:r>
      <w:bookmarkStart w:id="0" w:name="_GoBack"/>
    </w:p>
    <w:bookmarkEnd w:id="0"/>
    <w:p>
      <w:pPr>
        <w:pStyle w:val="3"/>
        <w:tabs>
          <w:tab w:val="left" w:pos="6300"/>
        </w:tabs>
        <w:spacing w:line="440" w:lineRule="exact"/>
        <w:ind w:firstLine="480" w:firstLineChars="200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1118235</wp:posOffset>
            </wp:positionH>
            <wp:positionV relativeFrom="paragraph">
              <wp:posOffset>879475</wp:posOffset>
            </wp:positionV>
            <wp:extent cx="121920" cy="499110"/>
            <wp:effectExtent l="0" t="0" r="5080" b="8890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1920" cy="499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如果这个图形出现在连续下跌的趋势里面，一般后面会继续下跌，这种情况下有增量资金入场，但是不急于拉升，被空头砸下来，短期内不看涨。如果出现在上涨趋势中，说明主力想向上继续拉升。</w:t>
      </w:r>
    </w:p>
    <w:p>
      <w:pPr>
        <w:pStyle w:val="3"/>
        <w:tabs>
          <w:tab w:val="left" w:pos="6300"/>
        </w:tabs>
        <w:spacing w:line="440" w:lineRule="exact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③、长下影阴线</w:t>
      </w:r>
    </w:p>
    <w:p>
      <w:pPr>
        <w:pStyle w:val="3"/>
        <w:tabs>
          <w:tab w:val="left" w:pos="6300"/>
        </w:tabs>
        <w:spacing w:line="440" w:lineRule="exact"/>
        <w:ind w:firstLine="480" w:firstLineChars="200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1155700</wp:posOffset>
            </wp:positionH>
            <wp:positionV relativeFrom="paragraph">
              <wp:posOffset>320675</wp:posOffset>
            </wp:positionV>
            <wp:extent cx="125730" cy="514350"/>
            <wp:effectExtent l="0" t="0" r="1270" b="19050"/>
            <wp:wrapNone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5730" cy="51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空方试盘遇阻反弹，压力不破继续看跌。</w:t>
      </w:r>
    </w:p>
    <w:p>
      <w:pPr>
        <w:pStyle w:val="3"/>
        <w:tabs>
          <w:tab w:val="left" w:pos="6300"/>
        </w:tabs>
        <w:spacing w:line="440" w:lineRule="exact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④、长上影阴线</w:t>
      </w:r>
    </w:p>
    <w:p>
      <w:pPr>
        <w:pStyle w:val="3"/>
        <w:tabs>
          <w:tab w:val="left" w:pos="6300"/>
        </w:tabs>
        <w:spacing w:line="440" w:lineRule="exact"/>
        <w:ind w:firstLine="480" w:firstLineChars="200"/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空方完爆多方，抛盘过多，见顶信号，宁可信其有，不可信其无，此时要放飞一部分。</w:t>
      </w:r>
    </w:p>
    <w:p>
      <w:pPr>
        <w:pStyle w:val="3"/>
        <w:tabs>
          <w:tab w:val="left" w:pos="6300"/>
        </w:tabs>
        <w:spacing w:line="440" w:lineRule="exact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⑤、小阳（阴）十字星</w:t>
      </w:r>
    </w:p>
    <w:p>
      <w:pPr>
        <w:pStyle w:val="3"/>
        <w:tabs>
          <w:tab w:val="left" w:pos="6300"/>
        </w:tabs>
        <w:spacing w:line="440" w:lineRule="exact"/>
        <w:ind w:firstLine="480" w:firstLineChars="200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119380</wp:posOffset>
            </wp:positionH>
            <wp:positionV relativeFrom="paragraph">
              <wp:posOffset>39370</wp:posOffset>
            </wp:positionV>
            <wp:extent cx="185420" cy="266065"/>
            <wp:effectExtent l="0" t="0" r="17780" b="13335"/>
            <wp:wrapNone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5420" cy="266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小阳十字星：多空在较小的范围内战争，筹码不松动，空方力竭，反转K</w:t>
      </w:r>
    </w:p>
    <w:p>
      <w:pPr>
        <w:pStyle w:val="3"/>
        <w:tabs>
          <w:tab w:val="left" w:pos="6300"/>
        </w:tabs>
        <w:spacing w:line="440" w:lineRule="exact"/>
        <w:ind w:firstLine="480" w:firstLineChars="200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111125</wp:posOffset>
            </wp:positionH>
            <wp:positionV relativeFrom="paragraph">
              <wp:posOffset>62230</wp:posOffset>
            </wp:positionV>
            <wp:extent cx="182880" cy="247015"/>
            <wp:effectExtent l="0" t="0" r="20320" b="6985"/>
            <wp:wrapNone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247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小阴十字星：多方力竭，容易成为反转K</w:t>
      </w:r>
    </w:p>
    <w:p>
      <w:pPr>
        <w:pStyle w:val="3"/>
        <w:tabs>
          <w:tab w:val="left" w:pos="6300"/>
        </w:tabs>
        <w:spacing w:line="440" w:lineRule="exact"/>
        <w:ind w:firstLine="480" w:firstLineChars="200"/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需注意只是大概率，但是不完全事件。同时，连续上涨途中，如果出现反转K，缩半量，则趋势会延续，这是最好的图形</w:t>
      </w:r>
    </w:p>
    <w:p>
      <w:pPr>
        <w:pStyle w:val="3"/>
        <w:tabs>
          <w:tab w:val="left" w:pos="6300"/>
        </w:tabs>
        <w:spacing w:line="440" w:lineRule="exact"/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  <w:r>
        <w:drawing>
          <wp:anchor distT="0" distB="0" distL="114300" distR="114300" simplePos="0" relativeHeight="251665408" behindDoc="1" locked="0" layoutInCell="1" allowOverlap="1">
            <wp:simplePos x="0" y="0"/>
            <wp:positionH relativeFrom="column">
              <wp:posOffset>1701800</wp:posOffset>
            </wp:positionH>
            <wp:positionV relativeFrom="paragraph">
              <wp:posOffset>59690</wp:posOffset>
            </wp:positionV>
            <wp:extent cx="501015" cy="1166495"/>
            <wp:effectExtent l="0" t="0" r="6985" b="1905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1015" cy="11664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⑥、标准K线</w:t>
      </w:r>
    </w:p>
    <w:p>
      <w:pPr>
        <w:pStyle w:val="3"/>
        <w:tabs>
          <w:tab w:val="left" w:pos="6300"/>
        </w:tabs>
        <w:spacing w:line="440" w:lineRule="exact"/>
        <w:ind w:firstLine="480" w:firstLineChars="200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走势还将继续延续。</w:t>
      </w:r>
    </w:p>
    <w:p>
      <w:pP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br w:type="page"/>
      </w:r>
    </w:p>
    <w:p>
      <w:pPr>
        <w:pStyle w:val="3"/>
        <w:tabs>
          <w:tab w:val="left" w:pos="6300"/>
        </w:tabs>
        <w:spacing w:line="440" w:lineRule="exact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复杂图形</w:t>
      </w:r>
    </w:p>
    <w:p>
      <w:pPr>
        <w:pStyle w:val="3"/>
        <w:tabs>
          <w:tab w:val="left" w:pos="6300"/>
        </w:tabs>
        <w:spacing w:line="440" w:lineRule="exact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①上涨趋势中，阴线的意义</w:t>
      </w:r>
    </w:p>
    <w:p>
      <w:pPr>
        <w:pStyle w:val="3"/>
        <w:tabs>
          <w:tab w:val="left" w:pos="6300"/>
        </w:tabs>
        <w:spacing w:line="440" w:lineRule="exact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drawing>
          <wp:anchor distT="0" distB="0" distL="114300" distR="114300" simplePos="0" relativeHeight="251666432" behindDoc="0" locked="0" layoutInCell="1" allowOverlap="1">
            <wp:simplePos x="0" y="0"/>
            <wp:positionH relativeFrom="column">
              <wp:posOffset>6985</wp:posOffset>
            </wp:positionH>
            <wp:positionV relativeFrom="paragraph">
              <wp:posOffset>6985</wp:posOffset>
            </wp:positionV>
            <wp:extent cx="3898900" cy="2599055"/>
            <wp:effectExtent l="0" t="0" r="12700" b="17145"/>
            <wp:wrapTopAndBottom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98900" cy="2599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②下跌趋势中，阳线的意义</w:t>
      </w:r>
    </w:p>
    <w:p>
      <w:pPr>
        <w:pStyle w:val="3"/>
        <w:tabs>
          <w:tab w:val="left" w:pos="6300"/>
        </w:tabs>
        <w:spacing w:line="440" w:lineRule="exact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drawing>
          <wp:anchor distT="0" distB="0" distL="114300" distR="114300" simplePos="0" relativeHeight="251667456" behindDoc="0" locked="0" layoutInCell="1" allowOverlap="1">
            <wp:simplePos x="0" y="0"/>
            <wp:positionH relativeFrom="column">
              <wp:posOffset>6350</wp:posOffset>
            </wp:positionH>
            <wp:positionV relativeFrom="paragraph">
              <wp:posOffset>35560</wp:posOffset>
            </wp:positionV>
            <wp:extent cx="3087370" cy="3386455"/>
            <wp:effectExtent l="0" t="0" r="11430" b="17145"/>
            <wp:wrapTopAndBottom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87370" cy="3386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  <w:br w:type="page"/>
      </w:r>
    </w:p>
    <w:p>
      <w:pPr>
        <w:pStyle w:val="3"/>
        <w:numPr>
          <w:ilvl w:val="0"/>
          <w:numId w:val="1"/>
        </w:numPr>
        <w:spacing w:line="440" w:lineRule="exact"/>
        <w:rPr>
          <w:rFonts w:hint="eastAsia" w:ascii="Times New Roman Regular" w:hAnsi="Times New Roman Regular" w:eastAsia="宋体" w:cs="Times New Roman Regular"/>
          <w:b/>
          <w:bCs/>
          <w:sz w:val="30"/>
          <w:szCs w:val="30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/>
          <w:bCs/>
          <w:sz w:val="30"/>
          <w:szCs w:val="30"/>
          <w:highlight w:val="none"/>
          <w:lang w:val="en-US" w:eastAsia="zh-CN"/>
        </w:rPr>
        <w:drawing>
          <wp:anchor distT="0" distB="0" distL="114300" distR="11430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446405</wp:posOffset>
            </wp:positionV>
            <wp:extent cx="5476240" cy="2931160"/>
            <wp:effectExtent l="0" t="0" r="10160" b="15240"/>
            <wp:wrapTopAndBottom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76240" cy="293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Times New Roman Regular" w:hAnsi="Times New Roman Regular" w:eastAsia="宋体" w:cs="Times New Roman Regular"/>
          <w:b/>
          <w:bCs/>
          <w:sz w:val="30"/>
          <w:szCs w:val="30"/>
          <w:highlight w:val="none"/>
          <w:lang w:val="en-US" w:eastAsia="zh-CN"/>
        </w:rPr>
        <w:t>形态规则</w:t>
      </w:r>
    </w:p>
    <w:p>
      <w:pPr>
        <w:pStyle w:val="3"/>
        <w:numPr>
          <w:ilvl w:val="0"/>
          <w:numId w:val="0"/>
        </w:numPr>
        <w:tabs>
          <w:tab w:val="left" w:pos="6300"/>
        </w:tabs>
        <w:spacing w:line="440" w:lineRule="exact"/>
        <w:ind w:leftChars="0" w:firstLine="480" w:firstLineChars="200"/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default" w:ascii="Times New Roman Bold" w:hAnsi="Times New Roman Bold" w:eastAsia="宋体" w:cs="Times New Roman Bold"/>
          <w:b/>
          <w:bCs/>
          <w:color w:val="FF0000"/>
          <w:highlight w:val="none"/>
          <w:lang w:val="en-US" w:eastAsia="zh-CN"/>
        </w:rPr>
        <w:t>B1</w:t>
      </w: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的含金量，买在拐点处。</w:t>
      </w:r>
    </w:p>
    <w:p>
      <w:pPr>
        <w:pStyle w:val="3"/>
        <w:numPr>
          <w:ilvl w:val="0"/>
          <w:numId w:val="1"/>
        </w:numPr>
        <w:spacing w:line="440" w:lineRule="exact"/>
        <w:rPr>
          <w:rFonts w:hint="eastAsia" w:ascii="Times New Roman Regular" w:hAnsi="Times New Roman Regular" w:eastAsia="宋体" w:cs="Times New Roman Regular"/>
          <w:b/>
          <w:bCs/>
          <w:sz w:val="30"/>
          <w:szCs w:val="30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/>
          <w:bCs/>
          <w:sz w:val="30"/>
          <w:szCs w:val="30"/>
          <w:highlight w:val="none"/>
          <w:lang w:val="en-US" w:eastAsia="zh-CN"/>
        </w:rPr>
        <w:t>均线（看趋势）</w:t>
      </w:r>
    </w:p>
    <w:p>
      <w:pPr>
        <w:pStyle w:val="3"/>
        <w:numPr>
          <w:ilvl w:val="0"/>
          <w:numId w:val="0"/>
        </w:numPr>
        <w:tabs>
          <w:tab w:val="left" w:pos="6300"/>
        </w:tabs>
        <w:spacing w:line="440" w:lineRule="exact"/>
        <w:ind w:leftChars="0" w:firstLine="480" w:firstLineChars="200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BBI：多空线，使用默认参数即可，至少是做中线才使用，做短线的不参考。只要是向上的趋势，都可以拿住不动。但是出现了拐头，并且有两根K线在BBI下方，就可以考虑撤。另外当趋势线走横的时候，如果没有建仓，就不要盲目进，除非短线可考虑在B1进，赌一个反弹</w:t>
      </w:r>
    </w:p>
    <w:p>
      <w:pPr>
        <w:pStyle w:val="3"/>
        <w:numPr>
          <w:ilvl w:val="0"/>
          <w:numId w:val="0"/>
        </w:numPr>
        <w:tabs>
          <w:tab w:val="left" w:pos="6300"/>
        </w:tabs>
        <w:spacing w:line="440" w:lineRule="exact"/>
        <w:ind w:leftChars="0" w:firstLine="480" w:firstLineChars="200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趋势指标（如BBI）是用来判断持股的，MACD是用来判断中线顶和底，如BBI连续向下，股价创新低，但是MACD的绿柱逐渐变少，没有创新低，则大概率是到了底部，可以抡。反之，如果股价一路向上，但是MACD在降低，绿柱不断增多，大概率是到顶部，此时就该离场了。MACD顶底判断的准确率是很高的。</w:t>
      </w:r>
    </w:p>
    <w:p>
      <w:pPr>
        <w:pStyle w:val="3"/>
        <w:numPr>
          <w:ilvl w:val="0"/>
          <w:numId w:val="0"/>
        </w:numPr>
        <w:tabs>
          <w:tab w:val="left" w:pos="6300"/>
        </w:tabs>
        <w:spacing w:line="440" w:lineRule="exact"/>
        <w:ind w:leftChars="0" w:firstLine="480" w:firstLineChars="200"/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KDJ判断入场点。</w:t>
      </w:r>
    </w:p>
    <w:p>
      <w:pPr>
        <w:pStyle w:val="3"/>
        <w:numPr>
          <w:ilvl w:val="0"/>
          <w:numId w:val="0"/>
        </w:numPr>
        <w:tabs>
          <w:tab w:val="left" w:pos="6300"/>
        </w:tabs>
        <w:spacing w:line="440" w:lineRule="exact"/>
        <w:ind w:leftChars="0" w:firstLine="480" w:firstLineChars="200"/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提醒：不是每一把都能赚钱，要的是看总体，也不要看单天，要从周/月/季/年的角度来看。不要在意单日的成败，但是要学会复盘和等待，前提是要有拿住不动的合理理由。</w:t>
      </w:r>
    </w:p>
    <w:p>
      <w:pPr>
        <w:pStyle w:val="3"/>
        <w:numPr>
          <w:ilvl w:val="0"/>
          <w:numId w:val="0"/>
        </w:numPr>
        <w:tabs>
          <w:tab w:val="left" w:pos="6300"/>
        </w:tabs>
        <w:spacing w:line="440" w:lineRule="exact"/>
        <w:ind w:leftChars="0" w:firstLine="480" w:firstLineChars="200"/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</w:p>
    <w:p>
      <w:pPr>
        <w:pStyle w:val="3"/>
        <w:numPr>
          <w:numId w:val="0"/>
        </w:numPr>
        <w:spacing w:line="440" w:lineRule="exact"/>
        <w:rPr>
          <w:rFonts w:hint="eastAsia" w:ascii="Times New Roman Regular" w:hAnsi="Times New Roman Regular" w:eastAsia="宋体" w:cs="Times New Roman Regular"/>
          <w:b/>
          <w:bCs/>
          <w:sz w:val="30"/>
          <w:szCs w:val="30"/>
          <w:highlight w:val="none"/>
          <w:lang w:val="en-US" w:eastAsia="zh-CN"/>
        </w:rPr>
      </w:pPr>
    </w:p>
    <w:p>
      <w:pPr>
        <w:rPr>
          <w:rFonts w:hint="eastAsia" w:ascii="Times New Roman Regular" w:hAnsi="Times New Roman Regular" w:eastAsia="宋体" w:cs="Times New Roman Regular"/>
          <w:b/>
          <w:bCs/>
          <w:sz w:val="30"/>
          <w:szCs w:val="30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/>
          <w:bCs/>
          <w:sz w:val="30"/>
          <w:szCs w:val="30"/>
          <w:highlight w:val="none"/>
          <w:lang w:val="en-US" w:eastAsia="zh-CN"/>
        </w:rPr>
        <w:br w:type="page"/>
      </w:r>
    </w:p>
    <w:p>
      <w:pPr>
        <w:pStyle w:val="3"/>
        <w:numPr>
          <w:ilvl w:val="0"/>
          <w:numId w:val="1"/>
        </w:numPr>
        <w:spacing w:line="440" w:lineRule="exact"/>
        <w:rPr>
          <w:rFonts w:hint="eastAsia" w:ascii="Times New Roman Regular" w:hAnsi="Times New Roman Regular" w:eastAsia="宋体" w:cs="Times New Roman Regular"/>
          <w:b/>
          <w:bCs/>
          <w:sz w:val="30"/>
          <w:szCs w:val="30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b/>
          <w:bCs/>
          <w:sz w:val="30"/>
          <w:szCs w:val="30"/>
          <w:highlight w:val="none"/>
          <w:lang w:val="en-US" w:eastAsia="zh-CN"/>
        </w:rPr>
        <w:t>其他</w:t>
      </w:r>
    </w:p>
    <w:p>
      <w:pPr>
        <w:pStyle w:val="3"/>
        <w:numPr>
          <w:ilvl w:val="0"/>
          <w:numId w:val="0"/>
        </w:numPr>
        <w:tabs>
          <w:tab w:val="left" w:pos="6300"/>
        </w:tabs>
        <w:spacing w:line="440" w:lineRule="exact"/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标准W底</w:t>
      </w:r>
    </w:p>
    <w:p>
      <w:pPr>
        <w:pStyle w:val="3"/>
        <w:numPr>
          <w:ilvl w:val="0"/>
          <w:numId w:val="0"/>
        </w:numPr>
        <w:tabs>
          <w:tab w:val="left" w:pos="6300"/>
        </w:tabs>
        <w:spacing w:line="440" w:lineRule="exact"/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  <w:r>
        <w:drawing>
          <wp:anchor distT="0" distB="0" distL="114300" distR="114300" simplePos="0" relativeHeight="251669504" behindDoc="0" locked="0" layoutInCell="1" allowOverlap="1">
            <wp:simplePos x="0" y="0"/>
            <wp:positionH relativeFrom="column">
              <wp:posOffset>-8255</wp:posOffset>
            </wp:positionH>
            <wp:positionV relativeFrom="paragraph">
              <wp:posOffset>121920</wp:posOffset>
            </wp:positionV>
            <wp:extent cx="5481320" cy="5094605"/>
            <wp:effectExtent l="0" t="0" r="5080" b="10795"/>
            <wp:wrapTopAndBottom/>
            <wp:docPr id="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1320" cy="5094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pStyle w:val="3"/>
        <w:numPr>
          <w:ilvl w:val="0"/>
          <w:numId w:val="0"/>
        </w:numPr>
        <w:tabs>
          <w:tab w:val="left" w:pos="6300"/>
        </w:tabs>
        <w:spacing w:line="440" w:lineRule="exact"/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  <w:r>
        <w:rPr>
          <w:rFonts w:hint="eastAsia" w:ascii="Times New Roman Regular" w:hAnsi="Times New Roman Regular" w:eastAsia="宋体" w:cs="Times New Roman Regular"/>
          <w:highlight w:val="none"/>
          <w:lang w:val="en-US" w:eastAsia="zh-CN"/>
        </w:rPr>
        <w:t>ADS玩法：大幅下跌过程中，ADS大幅下降，等到股价下跌，但是ADS拐头向上的时候，杀进去，博一个反弹。如果玩ADS的话，就不要参考其他的技术指标，承压能力差的话，不要玩。</w:t>
      </w:r>
    </w:p>
    <w:p>
      <w:pPr>
        <w:pStyle w:val="3"/>
        <w:numPr>
          <w:ilvl w:val="0"/>
          <w:numId w:val="0"/>
        </w:numPr>
        <w:tabs>
          <w:tab w:val="left" w:pos="6300"/>
        </w:tabs>
        <w:spacing w:line="440" w:lineRule="exact"/>
        <w:ind w:leftChars="0" w:firstLine="480" w:firstLineChars="200"/>
        <w:rPr>
          <w:rFonts w:hint="default" w:ascii="Times New Roman Regular" w:hAnsi="Times New Roman Regular" w:eastAsia="宋体" w:cs="Times New Roman Regular"/>
          <w:highlight w:val="none"/>
          <w:lang w:val="en-US" w:eastAsia="zh-CN"/>
        </w:rPr>
      </w:pPr>
    </w:p>
    <w:sectPr>
      <w:pgSz w:w="12240" w:h="15840"/>
      <w:pgMar w:top="720" w:right="1800" w:bottom="720" w:left="1800" w:header="720" w:footer="720" w:gutter="0"/>
      <w:cols w:space="0" w:num="1"/>
      <w:rtlGutter w:val="0"/>
      <w:docGrid w:linePitch="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mbria">
    <w:altName w:val="苹方-简"/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onsolas">
    <w:altName w:val="苹方-简"/>
    <w:panose1 w:val="020B0609020204030204"/>
    <w:charset w:val="00"/>
    <w:family w:val="modern"/>
    <w:pitch w:val="default"/>
    <w:sig w:usb0="00000000" w:usb1="00000000" w:usb2="00000009" w:usb3="00000000" w:csb0="0000019F" w:csb1="00000000"/>
  </w:font>
  <w:font w:name="Times New Roman Regular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7AED885"/>
    <w:multiLevelType w:val="singleLevel"/>
    <w:tmpl w:val="D7AED885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77FF209F"/>
    <w:multiLevelType w:val="singleLevel"/>
    <w:tmpl w:val="77FF209F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3E04"/>
    <w:rsid w:val="0003277F"/>
    <w:rsid w:val="002E5981"/>
    <w:rsid w:val="005D3E04"/>
    <w:rsid w:val="0069045E"/>
    <w:rsid w:val="00756106"/>
    <w:rsid w:val="00E95E1F"/>
    <w:rsid w:val="0FFFA819"/>
    <w:rsid w:val="3AB5031C"/>
    <w:rsid w:val="58D7D26E"/>
    <w:rsid w:val="58FE2859"/>
    <w:rsid w:val="5BFA18F8"/>
    <w:rsid w:val="6FBF7B56"/>
    <w:rsid w:val="75FFAA85"/>
    <w:rsid w:val="7797C52A"/>
    <w:rsid w:val="79DDDFCD"/>
    <w:rsid w:val="7CFF5E9C"/>
    <w:rsid w:val="7D775C3B"/>
    <w:rsid w:val="7E9BBFB6"/>
    <w:rsid w:val="7F6EC610"/>
    <w:rsid w:val="A6D5D369"/>
    <w:rsid w:val="BBDFCA1A"/>
    <w:rsid w:val="BFD625C8"/>
    <w:rsid w:val="C9FD6FBF"/>
    <w:rsid w:val="D5BF0E96"/>
    <w:rsid w:val="DAE5DA29"/>
    <w:rsid w:val="DCFF9DA0"/>
    <w:rsid w:val="E75FB7D4"/>
    <w:rsid w:val="EAED723F"/>
    <w:rsid w:val="F2FBA782"/>
    <w:rsid w:val="F5E15190"/>
    <w:rsid w:val="FFBF2B2E"/>
    <w:rsid w:val="FFD0193D"/>
    <w:rsid w:val="FFDE8FEC"/>
    <w:rsid w:val="FFE78425"/>
    <w:rsid w:val="FFF747B0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  <w14:textFill>
        <w14:solidFill>
          <w14:schemeClr w14:val="accent1"/>
        </w14:solidFill>
      </w14:textFill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14:textFill>
        <w14:solidFill>
          <w14:schemeClr w14:val="accent1"/>
        </w14:solidFill>
      </w14:textFill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14:textFill>
        <w14:solidFill>
          <w14:schemeClr w14:val="accent1"/>
        </w14:solidFill>
      </w14:textFill>
    </w:rPr>
  </w:style>
  <w:style w:type="character" w:default="1" w:styleId="19">
    <w:name w:val="Default Paragraph Font"/>
    <w:semiHidden/>
    <w:unhideWhenUsed/>
    <w:uiPriority w:val="1"/>
  </w:style>
  <w:style w:type="table" w:default="1" w:styleId="18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spacing w:before="240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uiPriority w:val="0"/>
    <w:rPr>
      <w:color w:val="4F81BD" w:themeColor="accent1"/>
      <w14:textFill>
        <w14:solidFill>
          <w14:schemeClr w14:val="accent1"/>
        </w14:solidFill>
      </w14:textFill>
    </w:rPr>
  </w:style>
  <w:style w:type="character" w:customStyle="1" w:styleId="21">
    <w:name w:val="正文文本 字符"/>
    <w:basedOn w:val="19"/>
    <w:link w:val="3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书目1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uiPriority w:val="0"/>
  </w:style>
  <w:style w:type="paragraph" w:customStyle="1" w:styleId="34">
    <w:name w:val="Figure"/>
    <w:basedOn w:val="1"/>
    <w:uiPriority w:val="0"/>
  </w:style>
  <w:style w:type="paragraph" w:customStyle="1" w:styleId="35">
    <w:name w:val="Captioned Figure"/>
    <w:basedOn w:val="34"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uiPriority w:val="0"/>
  </w:style>
  <w:style w:type="paragraph" w:customStyle="1" w:styleId="39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val="376092" w:themeColor="accent1" w:themeShade="BF"/>
    </w:rPr>
  </w:style>
  <w:style w:type="character" w:customStyle="1" w:styleId="40">
    <w:name w:val="KeywordTok"/>
    <w:basedOn w:val="36"/>
    <w:uiPriority w:val="0"/>
    <w:rPr>
      <w:rFonts w:ascii="Consolas" w:hAnsi="Consolas"/>
      <w:b/>
      <w:color w:val="007020"/>
      <w:sz w:val="22"/>
    </w:rPr>
  </w:style>
  <w:style w:type="character" w:customStyle="1" w:styleId="41">
    <w:name w:val="DataTypeTok"/>
    <w:basedOn w:val="36"/>
    <w:uiPriority w:val="0"/>
    <w:rPr>
      <w:rFonts w:ascii="Consolas" w:hAnsi="Consolas"/>
      <w:color w:val="902000"/>
      <w:sz w:val="22"/>
    </w:rPr>
  </w:style>
  <w:style w:type="character" w:customStyle="1" w:styleId="42">
    <w:name w:val="DecValTok"/>
    <w:basedOn w:val="36"/>
    <w:uiPriority w:val="0"/>
    <w:rPr>
      <w:rFonts w:ascii="Consolas" w:hAnsi="Consolas"/>
      <w:color w:val="40A070"/>
      <w:sz w:val="22"/>
    </w:rPr>
  </w:style>
  <w:style w:type="character" w:customStyle="1" w:styleId="43">
    <w:name w:val="BaseNTok"/>
    <w:basedOn w:val="36"/>
    <w:uiPriority w:val="0"/>
    <w:rPr>
      <w:rFonts w:ascii="Consolas" w:hAnsi="Consolas"/>
      <w:color w:val="40A070"/>
      <w:sz w:val="22"/>
    </w:rPr>
  </w:style>
  <w:style w:type="character" w:customStyle="1" w:styleId="44">
    <w:name w:val="FloatTok"/>
    <w:basedOn w:val="36"/>
    <w:uiPriority w:val="0"/>
    <w:rPr>
      <w:rFonts w:ascii="Consolas" w:hAnsi="Consolas"/>
      <w:color w:val="40A070"/>
      <w:sz w:val="22"/>
    </w:rPr>
  </w:style>
  <w:style w:type="character" w:customStyle="1" w:styleId="45">
    <w:name w:val="ConstantTok"/>
    <w:basedOn w:val="36"/>
    <w:uiPriority w:val="0"/>
    <w:rPr>
      <w:rFonts w:ascii="Consolas" w:hAnsi="Consolas"/>
      <w:color w:val="880000"/>
      <w:sz w:val="22"/>
    </w:rPr>
  </w:style>
  <w:style w:type="character" w:customStyle="1" w:styleId="46">
    <w:name w:val="CharTok"/>
    <w:basedOn w:val="36"/>
    <w:uiPriority w:val="0"/>
    <w:rPr>
      <w:rFonts w:ascii="Consolas" w:hAnsi="Consolas"/>
      <w:color w:val="4070A0"/>
      <w:sz w:val="22"/>
    </w:rPr>
  </w:style>
  <w:style w:type="character" w:customStyle="1" w:styleId="47">
    <w:name w:val="SpecialCharTok"/>
    <w:basedOn w:val="36"/>
    <w:uiPriority w:val="0"/>
    <w:rPr>
      <w:rFonts w:ascii="Consolas" w:hAnsi="Consolas"/>
      <w:color w:val="4070A0"/>
      <w:sz w:val="22"/>
    </w:rPr>
  </w:style>
  <w:style w:type="character" w:customStyle="1" w:styleId="48">
    <w:name w:val="StringTok"/>
    <w:basedOn w:val="36"/>
    <w:uiPriority w:val="0"/>
    <w:rPr>
      <w:rFonts w:ascii="Consolas" w:hAnsi="Consolas"/>
      <w:color w:val="4070A0"/>
      <w:sz w:val="22"/>
    </w:rPr>
  </w:style>
  <w:style w:type="character" w:customStyle="1" w:styleId="49">
    <w:name w:val="VerbatimStringTok"/>
    <w:basedOn w:val="36"/>
    <w:uiPriority w:val="0"/>
    <w:rPr>
      <w:rFonts w:ascii="Consolas" w:hAnsi="Consolas"/>
      <w:color w:val="4070A0"/>
      <w:sz w:val="22"/>
    </w:rPr>
  </w:style>
  <w:style w:type="character" w:customStyle="1" w:styleId="50">
    <w:name w:val="SpecialStringTok"/>
    <w:basedOn w:val="36"/>
    <w:uiPriority w:val="0"/>
    <w:rPr>
      <w:rFonts w:ascii="Consolas" w:hAnsi="Consolas"/>
      <w:color w:val="BB6688"/>
      <w:sz w:val="22"/>
    </w:rPr>
  </w:style>
  <w:style w:type="character" w:customStyle="1" w:styleId="51">
    <w:name w:val="ImportTok"/>
    <w:basedOn w:val="36"/>
    <w:uiPriority w:val="0"/>
    <w:rPr>
      <w:rFonts w:ascii="Consolas" w:hAnsi="Consolas"/>
      <w:b/>
      <w:color w:val="008000"/>
      <w:sz w:val="22"/>
    </w:rPr>
  </w:style>
  <w:style w:type="character" w:customStyle="1" w:styleId="52">
    <w:name w:val="CommentTok"/>
    <w:basedOn w:val="36"/>
    <w:uiPriority w:val="0"/>
    <w:rPr>
      <w:rFonts w:ascii="Consolas" w:hAnsi="Consolas"/>
      <w:i/>
      <w:color w:val="60A0B0"/>
      <w:sz w:val="22"/>
    </w:rPr>
  </w:style>
  <w:style w:type="character" w:customStyle="1" w:styleId="53">
    <w:name w:val="DocumentationTok"/>
    <w:basedOn w:val="36"/>
    <w:uiPriority w:val="0"/>
    <w:rPr>
      <w:rFonts w:ascii="Consolas" w:hAnsi="Consolas"/>
      <w:i/>
      <w:color w:val="BA2121"/>
      <w:sz w:val="22"/>
    </w:rPr>
  </w:style>
  <w:style w:type="character" w:customStyle="1" w:styleId="54">
    <w:name w:val="AnnotationTok"/>
    <w:basedOn w:val="36"/>
    <w:uiPriority w:val="0"/>
    <w:rPr>
      <w:rFonts w:ascii="Consolas" w:hAnsi="Consolas"/>
      <w:b/>
      <w:i/>
      <w:color w:val="60A0B0"/>
      <w:sz w:val="22"/>
    </w:rPr>
  </w:style>
  <w:style w:type="character" w:customStyle="1" w:styleId="55">
    <w:name w:val="CommentVarTok"/>
    <w:basedOn w:val="36"/>
    <w:uiPriority w:val="0"/>
    <w:rPr>
      <w:rFonts w:ascii="Consolas" w:hAnsi="Consolas"/>
      <w:b/>
      <w:i/>
      <w:color w:val="60A0B0"/>
      <w:sz w:val="22"/>
    </w:rPr>
  </w:style>
  <w:style w:type="character" w:customStyle="1" w:styleId="56">
    <w:name w:val="OtherTok"/>
    <w:basedOn w:val="36"/>
    <w:uiPriority w:val="0"/>
    <w:rPr>
      <w:rFonts w:ascii="Consolas" w:hAnsi="Consolas"/>
      <w:color w:val="007020"/>
      <w:sz w:val="22"/>
    </w:rPr>
  </w:style>
  <w:style w:type="character" w:customStyle="1" w:styleId="57">
    <w:name w:val="FunctionTok"/>
    <w:basedOn w:val="36"/>
    <w:uiPriority w:val="0"/>
    <w:rPr>
      <w:rFonts w:ascii="Consolas" w:hAnsi="Consolas"/>
      <w:color w:val="06287E"/>
      <w:sz w:val="22"/>
    </w:rPr>
  </w:style>
  <w:style w:type="character" w:customStyle="1" w:styleId="58">
    <w:name w:val="VariableTok"/>
    <w:basedOn w:val="36"/>
    <w:uiPriority w:val="0"/>
    <w:rPr>
      <w:rFonts w:ascii="Consolas" w:hAnsi="Consolas"/>
      <w:color w:val="19177C"/>
      <w:sz w:val="22"/>
    </w:rPr>
  </w:style>
  <w:style w:type="character" w:customStyle="1" w:styleId="59">
    <w:name w:val="ControlFlowTok"/>
    <w:basedOn w:val="36"/>
    <w:uiPriority w:val="0"/>
    <w:rPr>
      <w:rFonts w:ascii="Consolas" w:hAnsi="Consolas"/>
      <w:b/>
      <w:color w:val="007020"/>
      <w:sz w:val="22"/>
    </w:rPr>
  </w:style>
  <w:style w:type="character" w:customStyle="1" w:styleId="60">
    <w:name w:val="OperatorTok"/>
    <w:basedOn w:val="36"/>
    <w:uiPriority w:val="0"/>
    <w:rPr>
      <w:rFonts w:ascii="Consolas" w:hAnsi="Consolas"/>
      <w:color w:val="666666"/>
      <w:sz w:val="22"/>
    </w:rPr>
  </w:style>
  <w:style w:type="character" w:customStyle="1" w:styleId="61">
    <w:name w:val="BuiltInTok"/>
    <w:basedOn w:val="36"/>
    <w:uiPriority w:val="0"/>
    <w:rPr>
      <w:rFonts w:ascii="Consolas" w:hAnsi="Consolas"/>
      <w:color w:val="008000"/>
      <w:sz w:val="22"/>
    </w:rPr>
  </w:style>
  <w:style w:type="character" w:customStyle="1" w:styleId="62">
    <w:name w:val="ExtensionTok"/>
    <w:basedOn w:val="36"/>
    <w:uiPriority w:val="0"/>
    <w:rPr>
      <w:rFonts w:ascii="Consolas" w:hAnsi="Consolas"/>
      <w:sz w:val="22"/>
    </w:rPr>
  </w:style>
  <w:style w:type="character" w:customStyle="1" w:styleId="63">
    <w:name w:val="PreprocessorTok"/>
    <w:basedOn w:val="36"/>
    <w:uiPriority w:val="0"/>
    <w:rPr>
      <w:rFonts w:ascii="Consolas" w:hAnsi="Consolas"/>
      <w:color w:val="BC7A00"/>
      <w:sz w:val="22"/>
    </w:rPr>
  </w:style>
  <w:style w:type="character" w:customStyle="1" w:styleId="64">
    <w:name w:val="AttributeTok"/>
    <w:basedOn w:val="36"/>
    <w:uiPriority w:val="0"/>
    <w:rPr>
      <w:rFonts w:ascii="Consolas" w:hAnsi="Consolas"/>
      <w:color w:val="7D9029"/>
      <w:sz w:val="22"/>
    </w:rPr>
  </w:style>
  <w:style w:type="character" w:customStyle="1" w:styleId="65">
    <w:name w:val="RegionMarkerTok"/>
    <w:basedOn w:val="36"/>
    <w:uiPriority w:val="0"/>
    <w:rPr>
      <w:rFonts w:ascii="Consolas" w:hAnsi="Consolas"/>
      <w:sz w:val="22"/>
    </w:rPr>
  </w:style>
  <w:style w:type="character" w:customStyle="1" w:styleId="66">
    <w:name w:val="InformationTok"/>
    <w:basedOn w:val="36"/>
    <w:uiPriority w:val="0"/>
    <w:rPr>
      <w:rFonts w:ascii="Consolas" w:hAnsi="Consolas"/>
      <w:b/>
      <w:i/>
      <w:color w:val="60A0B0"/>
      <w:sz w:val="22"/>
    </w:rPr>
  </w:style>
  <w:style w:type="character" w:customStyle="1" w:styleId="67">
    <w:name w:val="WarningTok"/>
    <w:basedOn w:val="36"/>
    <w:uiPriority w:val="0"/>
    <w:rPr>
      <w:rFonts w:ascii="Consolas" w:hAnsi="Consolas"/>
      <w:b/>
      <w:i/>
      <w:color w:val="60A0B0"/>
      <w:sz w:val="22"/>
    </w:rPr>
  </w:style>
  <w:style w:type="character" w:customStyle="1" w:styleId="68">
    <w:name w:val="AlertTok"/>
    <w:basedOn w:val="36"/>
    <w:uiPriority w:val="0"/>
    <w:rPr>
      <w:rFonts w:ascii="Consolas" w:hAnsi="Consolas"/>
      <w:b/>
      <w:color w:val="FF0000"/>
      <w:sz w:val="22"/>
    </w:rPr>
  </w:style>
  <w:style w:type="character" w:customStyle="1" w:styleId="69">
    <w:name w:val="ErrorTok"/>
    <w:basedOn w:val="36"/>
    <w:uiPriority w:val="0"/>
    <w:rPr>
      <w:rFonts w:ascii="Consolas" w:hAnsi="Consolas"/>
      <w:b/>
      <w:color w:val="FF0000"/>
      <w:sz w:val="22"/>
    </w:rPr>
  </w:style>
  <w:style w:type="character" w:customStyle="1" w:styleId="70">
    <w:name w:val="NormalTok"/>
    <w:basedOn w:val="36"/>
    <w:uiPriority w:val="0"/>
    <w:rPr>
      <w:rFonts w:ascii="Consolas" w:hAnsi="Consolas"/>
      <w:sz w:val="2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331</Words>
  <Characters>1891</Characters>
  <Lines>15</Lines>
  <Paragraphs>4</Paragraphs>
  <TotalTime>148</TotalTime>
  <ScaleCrop>false</ScaleCrop>
  <LinksUpToDate>false</LinksUpToDate>
  <CharactersWithSpaces>2218</CharactersWithSpaces>
  <Application>WPS Office_6.2.2.8394_F1E327BC-269C-435d-A152-05C5408002CA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2024-10-19T00:03:00Z</dcterms:created>
  <dc:creator>拉格朗日附体</dc:creator>
  <cp:lastModifiedBy>拉格朗日附体</cp:lastModifiedBy>
  <dcterms:modified xsi:type="dcterms:W3CDTF">2025-05-02T18:55:05Z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2052-6.2.2.8394</vt:lpwstr>
  </property>
  <property fmtid="{D5CDD505-2E9C-101B-9397-08002B2CF9AE}" pid="3" name="ICV">
    <vt:lpwstr>1B1BB3EDC436F6E8A0A66B67CF0E8769_43</vt:lpwstr>
  </property>
</Properties>
</file>