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rFonts w:ascii="Cambria" w:cs="Cambria" w:eastAsia="Cambria" w:hAnsi="Cambria"/>
          <w:b/>
          <w:bCs/>
          <w:color w:val="134E4A"/>
          <w:sz w:val="44"/>
          <w:szCs w:val="44"/>
        </w:rPr>
        <w:t xml:space="preserve">SantéPlus Bénin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Plateforme digitale de mutuelle / assurance santé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766E"/>
          <w:spacing w:val="40"/>
          <w:sz w:val="26"/>
          <w:szCs w:val="26"/>
        </w:rPr>
        <w:t xml:space="preserve">GUIDE DES INTERFACES &amp; PROCÉDURES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Parcours de soins  •  Prescriptions  •  Tiers payant  •  Gestion assurance</w:t>
      </w:r>
    </w:p>
    <w:p>
      <w:pPr>
        <w:shd w:fill="F0FDFA" w:val="clear"/>
        <w:spacing w:after="600"/>
        <w:jc w:val="center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À l’attention de la Direction Générale, de la Direction Technique et des équipes métier
pour validation : ce qui est implémenté, comment ça marche, quoi ajuster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Version 1.1  •  25 août 2026  •  Ref. GUIDE-INTERFACES-001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4748B"/>
          <w:sz w:val="14"/>
          <w:szCs w:val="14"/>
        </w:rPr>
        <w:t xml:space="preserve">Document confidentiel — usage interne</w:t>
      </w:r>
    </w:p>
    <w:p>
      <w:r>
        <w:br w:type="page"/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Sommaire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Le sommaire est généré automatiquement par Word à partir des titres. Dans Word : Références → Table des matières → Mettre à jour la table.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Astuce : Ctrl+clic sur une entrée pour naviguer directement à la section.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1  —  Objet du document &amp; méthode de validation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Ce guide décrit, interface par interface, ce que fait chaque écran, les options qu’il offre et la procédure exacte à suivre. Il sert de support de revue : vous pouvez annoter directement ce document (mode Révision de Word) pour indiquer ce qui manque, doit être corrigé ou ajouté.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Comment valider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Parcourez chaque section dans l’ordre : le flux est présenté dans l’ordre chronologique du parcours de soins.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Pour chaque page, vérifiez : les champs affichés, les boutons proposés, les contrôles automatiques et les messages d’erreur.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Notez vos retours dans la grille du chapitre 14 ou en commentaires Word (Insertion → Nouveau commentaire).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Les captures conceptuelles sont intentionnellement schématiques : l’interface réelle (http://localhost:5173 en local) fait foi pour le rendu exact.</w:t>
      </w:r>
    </w:p>
    <w:p>
      <w:pPr>
        <w:shd w:fill="F0FDFA" w:color="auto" w:val="clear"/>
        <w:spacing w:after="80" w:before="80"/>
        <w:ind w:left="200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▸ Conventions : [QR] = jeton QR opaque ; FCFA = montants entiers ; les statuts en MAJUSCULES sont les valeurs techniques affichées avec un badge couleur.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2  —  Cartographie des rôles &amp; accès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La plateforme compte 6 rôles opérationnels. Chaque rôle ne voit que les données et actions strictement nécessaires à sa mission (principe du moindre privilège).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100"/>
        <w:gridCol w:w="2200"/>
        <w:gridCol w:w="2100"/>
        <w:gridCol w:w="2600"/>
      </w:tblGrid>
      <w:tr>
        <w:tc>
          <w:tcPr>
            <w:tcW w:type="dxa" w:w="2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Rôle</w:t>
            </w:r>
          </w:p>
        </w:tc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 ?</w:t>
            </w:r>
          </w:p>
        </w:tc>
        <w:tc>
          <w:tcPr>
            <w:tcW w:type="dxa" w:w="2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Espace</w:t>
            </w:r>
          </w:p>
        </w:tc>
        <w:tc>
          <w:tcPr>
            <w:tcW w:type="dxa" w:w="26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Données visibles</w:t>
            </w:r>
          </w:p>
        </w:tc>
      </w:tr>
      <w:tr>
        <w:tc>
          <w:tcPr>
            <w:tcW w:type="dxa" w:w="21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Assuré / Bénéficiaire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Particulier ou salarié + ayants droit</w:t>
            </w:r>
          </w:p>
        </w:tc>
        <w:tc>
          <w:tcPr>
            <w:tcW w:type="dxa" w:w="2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/app</w:t>
            </w:r>
          </w:p>
        </w:tc>
        <w:tc>
          <w:tcPr>
            <w:tcW w:type="dxa" w:w="2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Ses contrats, garanties, plafonds, consultations, ordonnances, délivrances, factures, timeline complète de ses dossiers</w:t>
            </w:r>
          </w:p>
        </w:tc>
      </w:tr>
      <w:tr>
        <w:tc>
          <w:tcPr>
            <w:tcW w:type="dxa" w:w="21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Médecin / Prescripteur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Personnel habilité d’une clinique/hôpital</w:t>
            </w:r>
          </w:p>
        </w:tc>
        <w:tc>
          <w:tcPr>
            <w:tcW w:type="dxa" w:w="2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 (prescrire)</w:t>
            </w:r>
          </w:p>
        </w:tc>
        <w:tc>
          <w:tcPr>
            <w:tcW w:type="dxa" w:w="2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Patients de son établissement : motif, diagnostic, prescriptions qu’il a créées</w:t>
            </w:r>
          </w:p>
        </w:tc>
      </w:tr>
      <w:tr>
        <w:tc>
          <w:tcPr>
            <w:tcW w:type="dxa" w:w="21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Pharmacie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Personnel officine partenaire</w:t>
            </w:r>
          </w:p>
        </w:tc>
        <w:tc>
          <w:tcPr>
            <w:tcW w:type="dxa" w:w="2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 (délivrer)</w:t>
            </w:r>
          </w:p>
        </w:tc>
        <w:tc>
          <w:tcPr>
            <w:tcW w:type="dxa" w:w="2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Ordonnances à délivrer, produits prescrits, couverture nécessaire — pas le dossier médical complet</w:t>
            </w:r>
          </w:p>
        </w:tc>
      </w:tr>
      <w:tr>
        <w:tc>
          <w:tcPr>
            <w:tcW w:type="dxa" w:w="21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Laboratoire / Imagerie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Techniciens</w:t>
            </w:r>
          </w:p>
        </w:tc>
        <w:tc>
          <w:tcPr>
            <w:tcW w:type="dxa" w:w="2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 (délivrer)</w:t>
            </w:r>
          </w:p>
        </w:tc>
        <w:tc>
          <w:tcPr>
            <w:tcW w:type="dxa" w:w="2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Examens prescrits uniquement</w:t>
            </w:r>
          </w:p>
        </w:tc>
      </w:tr>
      <w:tr>
        <w:tc>
          <w:tcPr>
            <w:tcW w:type="dxa" w:w="21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Gestionnaire assurance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Back-office assureur</w:t>
            </w:r>
          </w:p>
        </w:tc>
        <w:tc>
          <w:tcPr>
            <w:tcW w:type="dxa" w:w="2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/admin</w:t>
            </w:r>
          </w:p>
        </w:tc>
        <w:tc>
          <w:tcPr>
            <w:tcW w:type="dxa" w:w="2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Tous les dossiers, contrats, factures, plafonds consommés, anomalies — pas le contenu médical modifiable</w:t>
            </w:r>
          </w:p>
        </w:tc>
      </w:tr>
      <w:tr>
        <w:tc>
          <w:tcPr>
            <w:tcW w:type="dxa" w:w="21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Administrateur plateforme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Super admin</w:t>
            </w:r>
          </w:p>
        </w:tc>
        <w:tc>
          <w:tcPr>
            <w:tcW w:type="dxa" w:w="2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/admin + config</w:t>
            </w:r>
          </w:p>
        </w:tc>
        <w:tc>
          <w:tcPr>
            <w:tcW w:type="dxa" w:w="2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Tout + produits, partenaires, rôles, audit, paramètres</w:t>
            </w:r>
          </w:p>
        </w:tc>
      </w:tr>
    </w:tbl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Entreprise : cas particulier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L’entreprise est un souscripteur (compte COMPANY_ADMIN sur /entreprise), pas un soignant. Elle ne voit jamais le détail médical de ses salariés : uniquement des agrégats (ex. sinistralité globale) et des données administratives (cotisations, mouvements). Le cloisonnement est contrôlé côté API : toute tentative d’accès au détail médical renvoie « Accès restreint ».</w:t>
      </w:r>
    </w:p>
    <w:p>
      <w:pPr>
        <w:shd w:fill="F0FDFA" w:color="auto" w:val="clear"/>
        <w:spacing w:after="80" w:before="80"/>
        <w:ind w:left="200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▸ Multi-utilisateurs par établissement : un administrateur d’établissement (ex. Clinique Mahouna) peut créer des comptes pour son personnel (médecin, infirmier, caissier, facturation) depuis /prestataire/personnel, avec suspension et reset de mot de passe.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3  —  Espace Assuré  (/app)  —  13 entrées de menu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Objectif : permettre à l’assuré (et à ses ayants droit) de suivre son parcours de soins de bout en bout sans appeler un gestionnaire.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3.1  Tableau de bord  (/app)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Vue d’ensemble en 3 stat-cards (Contrat / Validité / Statut) + alertes + 2 colonnes.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200"/>
        <w:gridCol w:w="3200"/>
        <w:gridCol w:w="2200"/>
        <w:gridCol w:w="1400"/>
      </w:tblGrid>
      <w:tr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Bloc</w:t>
            </w:r>
          </w:p>
        </w:tc>
        <w:tc>
          <w:tcPr>
            <w:tcW w:type="dxa" w:w="3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Contenu affiché</w:t>
            </w:r>
          </w:p>
        </w:tc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Options / Actions</w:t>
            </w:r>
          </w:p>
        </w:tc>
        <w:tc>
          <w:tcPr>
            <w:tcW w:type="dxa" w:w="14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Source des données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Contrat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Numéro, produit, statut (badge couleur)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Contract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Validité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Début → fin, jours restants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Renouveler maintenant (si ≤ 30 j)</w:t>
            </w:r>
          </w:p>
        </w:tc>
        <w:tc>
          <w:tcPr>
            <w:tcW w:type="dxa" w:w="1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Contract.startDate/endDate + calcul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Demandes récentes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 dernières : réf., date soins, montant, statut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Tout voir → /app/remboursements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Claim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Établissements proches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3 plus proches (Cotonou par défaut)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Annuaire →</w:t>
            </w:r>
          </w:p>
        </w:tc>
        <w:tc>
          <w:tcPr>
            <w:tcW w:type="dxa" w:w="1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 (tri haversine si géoloc)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Carte d’assuré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Bandeau sombre avec CTA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Voir ma carte → /app/carte</w:t>
            </w:r>
          </w:p>
        </w:tc>
        <w:tc>
          <w:tcPr>
            <w:tcW w:type="dxa" w:w="1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Contract.cardToken</w:t>
            </w:r>
          </w:p>
        </w:tc>
      </w:tr>
    </w:tbl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3.2  Ma couverture — Mon contrat  (/app/contrat)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Fiche contrat + plafonds restants par garantie (barre de progression, reste/illimité) + échéancier des cotisations.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Élément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Options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Procédure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Statut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Actif / Suspendu / Expiré… (badge)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Plafonds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Reste par catégorie (indicateur visuel)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 (calcul : plafond − éligible consommé dans l’année d’anniversaire)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Échéances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 attente / En retard / Payée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Si PAIEMENT EN ATTENTE : choisir le moyen (MOCK/FedaPay/CinetPay) → Payer → contrat ACTIVÉ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Renouveler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Bouton si ≤ 30 j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POST /contracts/:id/renew → nouvelle échéance</w:t>
            </w:r>
          </w:p>
        </w:tc>
      </w:tr>
    </w:tbl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3.3  Carte d’assuré  (/app/carte)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Affiche : titulaire, n° assuré (MEM-…), n° contrat (CTR-…), validité, produit + QR code SVG.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Le QR encode {"t":"jeton_32hex"} — jeton opaque, aucune donnée perso. Régénération possible (ancien jeton immédiatement invalide).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Usage : présenté au prestataire qui le scanne (caméra ou saisie) pour vérification serveur.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3.4  Ordonnances  (/app/ordonnances)  —  NOUVEAU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Liste de toutes les ordonnances du patient et de ses ayants droit. Chaque ligne : n° ORD-…, statut, validité, prescripteur.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Statut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Signification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Options pour l’assuré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ACTIVE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Délivrable — quantité restante &gt; 0 et dans la fenêtre de validité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Détail &amp; QR · Imprimer l’ordonnance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PARTIALLY_EXECUTED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Partiellement délivrée — reste à délivrer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Idem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EXECUTED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Entièrement exécutée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Consultation seule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EXPIRED / CANCELLED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Périmée ou annulée par le prescripteur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Aucune délivrance possible</w:t>
            </w:r>
          </w:p>
        </w:tc>
      </w:tr>
    </w:tbl>
    <w:p>
      <w:pPr>
        <w:shd w:fill="F0FDFA" w:color="auto" w:val="clear"/>
        <w:spacing w:after="80" w:before="80"/>
        <w:ind w:left="200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▸ Renouvellements : si l’ordonnance est renouvelable (ex. 2×), le médecin peut prolonger la validité et remettre deliveredQty à 0 — l’assuré voit le compteur renouvellementsUsed / renewalsAllowed.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3.5  Consultations  (/app/consultations)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Historique des consultations : référence CON-…, motif, diagnostic, praticien, date. Lien vers l’ordonnance générée le cas échéant.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3.6  Mes soins — Dossiers de soins  (/app/soins)  —  NOUVEAU, CŒUR DU SYSTÈME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Agrège un épisode complet : consultation → prescription → délivrance(s) → prise en charge → facturation. Chaque dossier porte une référence DOS-… et une timeline horodatée.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Bloc du dossier</w:t>
            </w:r>
          </w:p>
        </w:tc>
        <w:tc>
          <w:tcPr>
            <w:tcW w:type="dxa" w:w="34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Contenu</w:t>
            </w:r>
          </w:p>
        </w:tc>
        <w:tc>
          <w:tcPr>
            <w:tcW w:type="dxa" w:w="34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Procédure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En-tête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Référence DOS-…, statut OPEN, dates, patient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Consultation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Motif, diagnostic, praticien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 (créée par le médecin)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Numéro, lignes, QR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Imprimer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Délivrance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Produits délivrés, montants, substitution éventuelle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Prise en charge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Estimation : couvert / reste à charge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2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Timeline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CONSULTATION_CREATED → PRESCRIPTION_CREATED → DELIVERY_CREATED → CLAIM_AUTHORIZED…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Filtrage par rôle : l’entreprise ne voit pas le médical</w:t>
            </w:r>
          </w:p>
        </w:tc>
      </w:tr>
    </w:tbl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3.7  Remboursements  (/app/remboursements)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Deux modes coexistent désormais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Remboursement classique : l’assuré photographie sa facture (POST /claims multipart) → estimation → file gestionnaire (approbation/refus) → paiement.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Tiers payant via ordonnance : aucune action de l’assuré — la prise en charge est créée côté prestataire et apparaît automatiquement dans ses prises en charge.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3.8  Autres entrées assuré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300"/>
        <w:gridCol w:w="3300"/>
        <w:gridCol w:w="3400"/>
      </w:tblGrid>
      <w:tr>
        <w:tc>
          <w:tcPr>
            <w:tcW w:type="dxa" w:w="23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Entrée</w:t>
            </w:r>
          </w:p>
        </w:tc>
        <w:tc>
          <w:tcPr>
            <w:tcW w:type="dxa" w:w="33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Rôle</w:t>
            </w:r>
          </w:p>
        </w:tc>
        <w:tc>
          <w:tcPr>
            <w:tcW w:type="dxa" w:w="34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À vérifier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Ayants droit</w:t>
            </w:r>
          </w:p>
        </w:tc>
        <w:tc>
          <w:tcPr>
            <w:tcW w:type="dxa" w:w="33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Ajout conjoint/enfant selon règles produit (âge max, quota)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Règle du quota maxBeneficiaries par produit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Réseau de soins</w:t>
            </w:r>
          </w:p>
        </w:tc>
        <w:tc>
          <w:tcPr>
            <w:tcW w:type="dxa" w:w="33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Recherche q/type/ville + « Autour de moi » (géoloc)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Tri distance + badge Tiers payant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Paiements</w:t>
            </w:r>
          </w:p>
        </w:tc>
        <w:tc>
          <w:tcPr>
            <w:tcW w:type="dxa" w:w="33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Historique cotisations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Statut par échéance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Documents</w:t>
            </w:r>
          </w:p>
        </w:tc>
        <w:tc>
          <w:tcPr>
            <w:tcW w:type="dxa" w:w="33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Contrat, certificat PDF, attestation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Génération PDF (pdfkit) — vérifiez les mentions légales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33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In-app + e-mail/SMS/WhatsApp (selon config)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Routage par sujet (NOTIFY_*_TOPICS)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Profil</w:t>
            </w:r>
          </w:p>
        </w:tc>
        <w:tc>
          <w:tcPr>
            <w:tcW w:type="dxa" w:w="33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Coordonnées, mot de passe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Chiffrement nationalIdEnc (AES-256-GCM)</w:t>
            </w:r>
          </w:p>
        </w:tc>
      </w:tr>
    </w:tbl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4  —  Espace Médecin / Prescripteur  (/prestataire — permission provider.prescribe)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Réservé aux utilisateurs habilités (médecin, infirmier prescripteur). Le pharmacien/caissier sans cette permission ne voit pas ces pages.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4.1  Consultations  (/prestataire/consultations)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Détail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Contrôles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Enregistrer une consultation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Champs : n° assuré/QR, motif, diagnostic, praticien, spécialité — bouton Enregistrer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Contrat du patient doit être ACTIF (sinon 400)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Liste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Référence CON-…, patient, praticien, motif, date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Filtre par q (motif, nom patient)</w:t>
            </w:r>
          </w:p>
        </w:tc>
      </w:tr>
    </w:tbl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4.2  Ordonnances  (/prestataire/ordonnances)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Détail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Procédure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Scanner une ordonnance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QR ou n° ORD-… → affiche patient, validité, lignes avec remaining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GET /provider/prescriptions/scan — gère EXPIRED / EXECUTED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Nouvelle ordonnance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Depuis une consultation (pré-rempli) ou standalone : n° assuré, lignes (médicament/acte, quantité, prix, posologie, durée), validité (jours), renouvellements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POST /provider/prescriptions → n° ORD-… + QR — dossier de soins créé/mis à jour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Liste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Toutes les ordonnances de l’établissement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Filtre statut (ACTIVE, PARTIALLY_EXECUTED…)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Détail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QR imprimable, lignes avec délivré/restant, boutons Renouveler / Annuler / Imprimer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Renouvellement : deliveryQty remis à 0, validUntil +30 j, renewalsUsed++</w:t>
            </w:r>
          </w:p>
        </w:tc>
      </w:tr>
    </w:tbl>
    <w:p>
      <w:pPr>
        <w:shd w:fill="F0FDFA" w:color="auto" w:val="clear"/>
        <w:spacing w:after="80" w:before="80"/>
        <w:ind w:left="200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▸ Traçabilité : chaque prescription porte prescriberUserId + prescriberName — une pharmacie ne peut jamais créer une ordonnance (403).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5  —  Espace Pharmacie  (/prestataire — Délivrances)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5.1  Délivrer une ordonnance  (/prestataire/delivrances)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Flux imposé par le métier : ordonnance d’abord, délivrance ensuite. Le système refuse toute délivrance sans prescription valide lorsque l’acte l’exige.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Étape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Action du pharmacien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Contrôle système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1. Charger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Scanner le QR ordonnance ou saisir le n° ORD-…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 ACTIVE/PARTIALLY_EXECUTED, non expirée, patient trouvé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2. Lignes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Pour chaque ligne : quantité à délivrer ≤ remaining, note de substitution si produit différent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Reste disponible vérifié ligne par ligne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3. Envoyer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Confirmer la délivrance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→ contrat ACTIF, garantie PHARMACY, plafond restant, taux ; création Delivery + Claim THIRDPARTY (DEL-…, TPE-…) + dossier mis à jour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4. Résultat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Voir : total, couvert, reste à charge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Estimation du moteur (taux, franchise, plafond)</w:t>
            </w:r>
          </w:p>
        </w:tc>
      </w:tr>
    </w:tbl>
    <w:p>
      <w:pPr>
        <w:shd w:fill="F0FDFA" w:color="auto" w:val="clear"/>
        <w:spacing w:after="80" w:before="80"/>
        <w:ind w:left="200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▸ Délivrance partielle : le pharmacien peut ne délivrer que 2/3 lignes ; le reste reste disponible pour une autre pharmacie/laboratoire. Une fois quantity épuisée → prescription EXECUTED.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5.2  Règles configurables par acte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1620"/>
        <w:gridCol w:w="3600"/>
        <w:gridCol w:w="1980"/>
        <w:gridCol w:w="1800"/>
      </w:tblGrid>
      <w:tr>
        <w:tc>
          <w:tcPr>
            <w:tcW w:type="dxa" w:w="16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Acte (exemple)</w:t>
            </w:r>
          </w:p>
        </w:tc>
        <w:tc>
          <w:tcPr>
            <w:tcW w:type="dxa" w:w="36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Prescription</w:t>
            </w:r>
          </w:p>
        </w:tc>
        <w:tc>
          <w:tcPr>
            <w:tcW w:type="dxa" w:w="198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Accord préalable</w:t>
            </w:r>
          </w:p>
        </w:tc>
        <w:tc>
          <w:tcPr>
            <w:tcW w:type="dxa" w:w="18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Effet si manquant</w:t>
            </w:r>
          </w:p>
        </w:tc>
      </w:tr>
      <w:tr>
        <w:tc>
          <w:tcPr>
            <w:tcW w:type="dxa" w:w="16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Paracétamol (OTC)</w:t>
            </w:r>
          </w:p>
        </w:tc>
        <w:tc>
          <w:tcPr>
            <w:tcW w:type="dxa" w:w="3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Non</w:t>
            </w:r>
          </w:p>
        </w:tc>
        <w:tc>
          <w:tcPr>
            <w:tcW w:type="dxa" w:w="198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Non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Délivrance directe autorisée</w:t>
            </w:r>
          </w:p>
        </w:tc>
      </w:tr>
      <w:tr>
        <w:tc>
          <w:tcPr>
            <w:tcW w:type="dxa" w:w="16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Amoxicilline</w:t>
            </w:r>
          </w:p>
        </w:tc>
        <w:tc>
          <w:tcPr>
            <w:tcW w:type="dxa" w:w="3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Oui</w:t>
            </w:r>
          </w:p>
        </w:tc>
        <w:tc>
          <w:tcPr>
            <w:tcW w:type="dxa" w:w="198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Non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Bloqué : « Aucune prescription valide trouvée »</w:t>
            </w:r>
          </w:p>
        </w:tc>
      </w:tr>
      <w:tr>
        <w:tc>
          <w:tcPr>
            <w:tcW w:type="dxa" w:w="16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Échographie</w:t>
            </w:r>
          </w:p>
        </w:tc>
        <w:tc>
          <w:tcPr>
            <w:tcW w:type="dxa" w:w="3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Oui</w:t>
            </w:r>
          </w:p>
        </w:tc>
        <w:tc>
          <w:tcPr>
            <w:tcW w:type="dxa" w:w="198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Non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Bloqué</w:t>
            </w:r>
          </w:p>
        </w:tc>
      </w:tr>
      <w:tr>
        <w:tc>
          <w:tcPr>
            <w:tcW w:type="dxa" w:w="16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Bloc opératoire</w:t>
            </w:r>
          </w:p>
        </w:tc>
        <w:tc>
          <w:tcPr>
            <w:tcW w:type="dxa" w:w="36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Oui</w:t>
            </w:r>
          </w:p>
        </w:tc>
        <w:tc>
          <w:tcPr>
            <w:tcW w:type="dxa" w:w="198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Oui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Bloqué + autorisation gestionnaire requise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Ces drapeaux se paramètrent par acte (Act.requiresPrescription / requiresPriorAuth) et peuvent être surchargés par produit. Le moteur applique la règle de l’acte.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6  —  Laboratoire / Imagerie / Clinique / Hôpital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Même parcours que la pharmacie, adapté à la spécialité : la prescription porte un actId LABORATORY / SPECIALIZED / HOSPITALIZATION. Le laboratoire voit uniquement les examens qui le concernent (filtre par catégorie).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Établissement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Particularité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À vérifier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Laboratoire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Examens à jeun, résultats à transmettre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Prescription LABORATORY requise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Imagerie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Devis, autorisation préalable fréquente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Act.requiresPriorAuth contrôlé par le seuil thirdPartyAuthThreshold (défaut 150 000 FCFA)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Clinique/Hôpital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Admission, hospitalisation, chirurgie : demande d’autorisation via Claim AUTH_REQUIRED → décision gestionnaire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Suivi facturation provisoire → finale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Optique/Dentaire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Devis + fréquence de renouvellement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Plafonds spécifiques (ex. optique 100 000 FCFA)</w:t>
            </w:r>
          </w:p>
        </w:tc>
      </w:tr>
    </w:tbl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7  —  Tiers payant — deux circuits coexistent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300"/>
        <w:gridCol w:w="2500"/>
        <w:gridCol w:w="3200"/>
        <w:gridCol w:w="2000"/>
      </w:tblGrid>
      <w:tr>
        <w:tc>
          <w:tcPr>
            <w:tcW w:type="dxa" w:w="23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Circuit</w:t>
            </w:r>
          </w:p>
        </w:tc>
        <w:tc>
          <w:tcPr>
            <w:tcW w:type="dxa" w:w="25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Quand</w:t>
            </w:r>
          </w:p>
        </w:tc>
        <w:tc>
          <w:tcPr>
            <w:tcW w:type="dxa" w:w="3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 crée la prise en charge</w:t>
            </w:r>
          </w:p>
        </w:tc>
        <w:tc>
          <w:tcPr>
            <w:tcW w:type="dxa" w:w="20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Calcul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Direct (ex. consultation)</w:t>
            </w:r>
          </w:p>
        </w:tc>
        <w:tc>
          <w:tcPr>
            <w:tcW w:type="dxa" w:w="25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Acte sans prescription requise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Le prestataire saisit l’acte → estimation immédiate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Taux/plafond du produit</w:t>
            </w:r>
          </w:p>
        </w:tc>
      </w:tr>
      <w:tr>
        <w:tc>
          <w:tcPr>
            <w:tcW w:type="dxa" w:w="23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Sur ordonnance (pharmacie, labo…)</w:t>
            </w:r>
          </w:p>
        </w:tc>
        <w:tc>
          <w:tcPr>
            <w:tcW w:type="dxa" w:w="25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Acte avec requiresPrescription</w:t>
            </w:r>
          </w:p>
        </w:tc>
        <w:tc>
          <w:tcPr>
            <w:tcW w:type="dxa" w:w="3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La délivrance crée automatiquement le Claim THIRDPARTY lié à l’ordonnance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Idem, mais filtré par la prescription</w:t>
            </w:r>
          </w:p>
        </w:tc>
      </w:tr>
    </w:tbl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Circuit générique (legacy)  —  /prestataire/nouvelle → /provider/thirdparty/initiate + /confirm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Utilisé pour les consultations directes. Pour la pharmacie, ce circuit est désormais bloqué sans ordonnance : « Aucune prescription valide trouvée pour cette prestation » (400).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8  —  Espace Prestataire — vue d’ensemble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1800"/>
      </w:tblGrid>
      <w:tr>
        <w:tc>
          <w:tcPr>
            <w:tcW w:type="dxa" w:w="28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Entrée de menu</w:t>
            </w:r>
          </w:p>
        </w:tc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Route</w:t>
            </w:r>
          </w:p>
        </w:tc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 y a accès</w:t>
            </w:r>
          </w:p>
        </w:tc>
        <w:tc>
          <w:tcPr>
            <w:tcW w:type="dxa" w:w="18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Statut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Tableau de bord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Tous PROVIDER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KPIs : patients/jour, facturé, à recevoir, encaissé + activité récente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Vérifier un assuré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/prestataire/verifier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provider.verify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QR + n° assuré + n° contrat — plafonds temps réel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Consultations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/prestataire/consultations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provider.prescribe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Liste + création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/prestataire/ordonnances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provider.prescribe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Liste + scan QR + détail + renouvellement + impression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Délivrances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/prestataire/delivrances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provider.thirdparty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Scan ordonnance → délivrance + calcul TP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Nouvelle prise en charge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/prestataire/nouvelle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provider.thirdparty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Circuit direct (consultation)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Prises en charge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/prestataire/prises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provider.thirdparty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Historique THIRDPARTY avec facturation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Paiements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/prestataire/paiements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provider.thirdparty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À recevoir / encaissé / à facturer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Mon établissement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/prestataire/etablissement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provider.staff (admin)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Édition limitée (horaires, téléphone)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Personnel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/prestataire/personnel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provider.staff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Multi-comptes par établissement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Dossiers de soins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/prestataire/dossiers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provider.thirdparty</w:t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Agrège consultation→prescription→délivrance→facture</w:t>
            </w:r>
          </w:p>
        </w:tc>
      </w:tr>
    </w:tbl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9  —  Espace Entreprise  (/entreprise)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Aucun accès médical détaillé — uniquement agrégats et administratif.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Page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Options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Contrôles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Tableau de bord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Salariés couverts, contrats, échéances, sinistralité agrégée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Salariés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Ajout manuel + import CSV (rapport ligne par ligne, doublons)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Détection email/téléphone/identité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Contrat collectif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Souscription produit COMPANY + échéancier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Un seul contrat GROUP actif à la fois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Dossiers de soins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Masqués — seul le gestionnaire assurance voit le médical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assertVisible lève « Accès restreint »</w:t>
            </w:r>
          </w:p>
        </w:tc>
      </w:tr>
    </w:tbl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10  —  Espace Assureur / Gestionnaire &amp; Admin  (/admin)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Dashboard &amp; pilotage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Portefeuille (assurés, entreprises, contrats), production (cotisations, produits), prestations (consultations, délivrances), financier (engagé / pris en charge / payé), qualité (taux de rejet, anomalies).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Autorisations préalables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File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Action gestionnaire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Effet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 attente (AUTH_REQUIRED, tiers payant)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Autoriser (→ AUTHORIZED, notif prestataire) / Demander infos / Refuser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Le prestataire peut confirmer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Délivrance (même file via delivery)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idem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Le pharmacien voit « Autorisée » puis confirme</w:t>
            </w:r>
          </w:p>
        </w:tc>
      </w:tr>
    </w:tbl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Contrôle factures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Le gestionnaire compare facture vs contrat/garantie/prescription/autorisation/plafonds. Alertes : « Facture 150 k mais autorisation 100 k » · « Acte sans prescription » · « Quantité dépassée ».</w:t>
      </w:r>
    </w:p>
    <w:p>
      <w:pPr>
        <w:pStyle w:val="Heading2"/>
        <w:spacing w:after="80" w:before="260"/>
      </w:pPr>
      <w:r>
        <w:rPr>
          <w:rFonts w:ascii="Cambria" w:cs="Cambria" w:eastAsia="Cambria" w:hAnsi="Cambria"/>
          <w:b/>
          <w:bCs/>
          <w:color w:val="1E293B"/>
          <w:sz w:val="24"/>
          <w:szCs w:val="24"/>
        </w:rPr>
        <w:t xml:space="preserve">Produits &amp; conventions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Chaque produit définit : garanties (taux, plafonds, franchises), règles bénéficiaires, carence, tarifs. Chaque Act/Medication a ses drapeaux requiresPrescription / requiresPriorAuth configurables par l’admin.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11  —  Dossier de soins — objet fédérateur (CareRecord)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Référence DOS-YYYY-… qui chaînone : CareRecord → Consultation → Prescription (→ lignes) → Delivery (→ lignes) → Claim (THIRDPARTY, prise en charge). Chaque création ajoute un CareRecordEvent (CONSULTATION_CREATED → PRESCRIPTION_CREATED → DELIVERY_CREATED → CLAIM_AUTHORIZED…).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Timeline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Accessible via GET /care-records/:id/timeline, filtrée par rôle (l’entreprise ne voit que les métadonnées non médicales). L’assuré y retrouve toute son histoire : consultation Dr X (motif, diagnostic) → ordonnance ORD-… (QR, validité) → délivrance DEL-… (produits, substitution) → montants (couvert / reste à charge) → facture.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Règles de visibilité (§28)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Acteur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Voit dans le dossier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Ne voit PAS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Assuré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Tout son dossier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Les dossiers d’autres patients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Médecin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Ses consultations + ses prescriptions + suivi délivrance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Dossiers d’autres établissements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Pharmacie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 + lignes restantes + garanties/pharmacie nécessaires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Diagnostic complet, autres prescriptions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Assureur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Touts les dossiers (gestion)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 (ne modifie pas le médical)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Entreprise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Agrégat sinistralité uniquement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Aucun détail médical individuel</w:t>
            </w:r>
          </w:p>
        </w:tc>
      </w:tr>
    </w:tbl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Sécurité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18"/>
          <w:szCs w:val="18"/>
        </w:rPr>
        <w:t xml:space="preserve">RBAC granulaire (12 clés, ex. provider.prescribe), chiffrement nationalIdEnc (AES-256-GCM), QR = jeton opaque, cloisonnement par établissement (user.providerId), audit complet (AuditLog + CareRecordEvent).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12  —  Notifications &amp; recherche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520"/>
        <w:gridCol w:w="3240"/>
        <w:gridCol w:w="3240"/>
      </w:tblGrid>
      <w:tr>
        <w:tc>
          <w:tcPr>
            <w:tcW w:type="dxa" w:w="252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Canal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Quand</w:t>
            </w:r>
          </w:p>
        </w:tc>
        <w:tc>
          <w:tcPr>
            <w:tcW w:type="dxa" w:w="324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Exemple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In-app (toujours)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Chaque événement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 créée · Délivrance enregistrée · Autorisation accordée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E-mail (HTTP API)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Sujets configurables (NOTIFY_EMAIL_TOPICS)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Idem — via Brevo/SendGrid-like</w:t>
            </w:r>
          </w:p>
        </w:tc>
      </w:tr>
      <w:tr>
        <w:tc>
          <w:tcPr>
            <w:tcW w:type="dxa" w:w="252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SMS / WhatsApp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Sujets critiques (NOTIFY_SMS_TOPICS + WA_TOKEN)</w:t>
            </w:r>
          </w:p>
        </w:tc>
        <w:tc>
          <w:tcPr>
            <w:tcW w:type="dxa" w:w="324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Paiement confirmé · Contrat suspendu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4748B"/>
          <w:sz w:val="18"/>
          <w:szCs w:val="18"/>
        </w:rPr>
        <w:t xml:space="preserve">Recherche globale par assuré / n° contrat / ordonnance / prise en charge / facture — résultats filtrés par permission.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13  —  Parcours complet de référence (§43) — scénario validé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Ce scénario est exécuté automatiquement à chaque seed et rejouable via l’API/Postman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1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1. Consultation — Jean consulte le Dr Kouassi (motif : fièvre, toux)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2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2. Prescription — 2 médicaments + 1 analyse (validité 30 j, QR ORD-…)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3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3. Pharmacie scanne le QR de l’ordonnance → vérifie patient, validité, lignes restantes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4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4. Délivrance partielle — 2 médicaments délivrés, analyse laissée pour le labo (statut PARTIALLY_EXECUTED)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5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5. Laboratoire délivre l’analyse restante → ordonnance EXECUTED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6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6. Dossier DOS-… alimenté : 3 événements (consultation, prescription, 2 délivrances)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Étape 7 — </w:t>
      </w:r>
      <w:r>
        <w:rPr>
          <w:rFonts w:ascii="Calibri" w:cs="Calibri" w:eastAsia="Calibri" w:hAnsi="Calibri"/>
          <w:color w:val="1E293B"/>
          <w:sz w:val="18"/>
          <w:szCs w:val="18"/>
        </w:rPr>
        <w:t xml:space="preserve">7. Historique assuré : /care-records/mine + /prescriptions/mine + /consultations/mine affichent le dossier complet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Cas négatifs couverts (§44)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800"/>
        <w:gridCol w:w="2200"/>
        <w:gridCol w:w="4000"/>
      </w:tblGrid>
      <w:tr>
        <w:tc>
          <w:tcPr>
            <w:tcW w:type="dxa" w:w="28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Situation</w:t>
            </w:r>
          </w:p>
        </w:tc>
        <w:tc>
          <w:tcPr>
            <w:tcW w:type="dxa" w:w="22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Réponse système</w:t>
            </w:r>
          </w:p>
        </w:tc>
        <w:tc>
          <w:tcPr>
            <w:tcW w:type="dxa" w:w="40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Message utilisateur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Sans ordonnance (pharmacie)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400 Bad Request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Aucune prescription valide trouvée pour cette prestation.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 expirée (validUntil &lt; now)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400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 expirée (valide jusqu’au …)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Déjà entièrement exécutée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400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Cette ordonnance a déjà été entièrement exécutée.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Quantité &gt; reste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400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Quantité demandée (n) dépasse le reste disponible (m)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Pharmacie crée une ordonnance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403 Forbidden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Seul un prescripteur habilité peut créer une ordonnance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Contrat inactif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400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Contrat du patient inactif — délivrance impossible</w:t>
            </w:r>
          </w:p>
        </w:tc>
      </w:tr>
      <w:tr>
        <w:tc>
          <w:tcPr>
            <w:tcW w:type="dxa" w:w="2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Autorisation préalable manquante</w:t>
            </w:r>
          </w:p>
        </w:tc>
        <w:tc>
          <w:tcPr>
            <w:tcW w:type="dxa" w:w="22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Statut AUTH_REQUIRED → bloque la confirmation</w:t>
            </w:r>
          </w:p>
        </w:tc>
        <w:tc>
          <w:tcPr>
            <w:tcW w:type="dxa" w:w="4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En attente de validation du gestionnaire</w:t>
            </w:r>
          </w:p>
        </w:tc>
      </w:tr>
    </w:tbl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14  —  Grille de validation — à compléter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Cochez, corrigez ou commentez directement dans ce document (mode Révision). Chaque ligne devient une demande de modification priorisée.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1800"/>
        <w:gridCol w:w="3400"/>
        <w:gridCol w:w="2000"/>
        <w:gridCol w:w="1800"/>
      </w:tblGrid>
      <w:tr>
        <w:tc>
          <w:tcPr>
            <w:tcW w:type="dxa" w:w="18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Domaine</w:t>
            </w:r>
          </w:p>
        </w:tc>
        <w:tc>
          <w:tcPr>
            <w:tcW w:type="dxa" w:w="34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Question de validation</w:t>
            </w:r>
          </w:p>
        </w:tc>
        <w:tc>
          <w:tcPr>
            <w:tcW w:type="dxa" w:w="20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Statut (OK / À corriger / À ajouter)</w:t>
            </w:r>
          </w:p>
        </w:tc>
        <w:tc>
          <w:tcPr>
            <w:tcW w:type="dxa" w:w="18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Commentaire</w:t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Parcours global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Le flux Assuré → Consultation → Ordonnance → Délivrance → Facturation est-il clair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Rôles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La distinction médecin / pharmacie / labo / hôpital est-elle suffisante ou faut-il des sous-rôles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Consultation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Champs motif/diagnostic/spécialité suffisants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Ordonnance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Validité 30 j, renouvellements, QR : paramètres adaptés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Délivrance partielle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Substitution avec note : processus conforme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Autorisation préalable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Seuil tiers payant 150 000 FCFA : montant correct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Catalogue actes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14 actes seedés : manques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Catalogue médicaments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8 spécialités seedées : compléter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Dossier de soins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Timeline compréhensible pour chaque rôle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Menu assuré (17 items)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Trop chargé ? Faut-il regrouper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Menu prestataire (12 items)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Ordre et intitulés pertinents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Canaux e-mail/SMS/WhatsApp : sujets corrects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PDF (certificat, attestation)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Mentions légales suffisantes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Sécurité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Chiffrement, QR opaque, cloisonnement : conforme à vos exigences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Hors-ligne</w:t>
            </w:r>
          </w:p>
        </w:tc>
        <w:tc>
          <w:tcPr>
            <w:tcW w:type="dxa" w:w="34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Mode dégradé souhaité en cas de connexion faible ?</w:t>
            </w:r>
          </w:p>
        </w:tc>
        <w:tc>
          <w:tcPr>
            <w:tcW w:type="dxa" w:w="20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  <w:tc>
          <w:tcPr>
            <w:tcW w:type="dxa" w:w="18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Statut : laissez vide = à discuter en revue. Utilisez les commentaires Word (Insertion → Nouveau commentaire) pour pointer un passage précis.</w:t>
      </w:r>
    </w:p>
    <w:p>
      <w:pPr>
        <w:shd w:fill="F0FDFA" w:val="clear"/>
        <w:spacing w:before="300"/>
      </w:pPr>
      <w:r>
        <w:rPr>
          <w:rFonts w:ascii="Calibri" w:cs="Calibri" w:eastAsia="Calibri" w:hAnsi="Calibri"/>
          <w:i/>
          <w:iCs/>
          <w:color w:val="134E4A"/>
          <w:sz w:val="18"/>
          <w:szCs w:val="18"/>
        </w:rPr>
        <w:t xml:space="preserve">Prochaine étape proposée : revue de 60 minutes avec la direction métier et technique — nous parcourons ce guide page par page et figeons les ajustements pour le pilote.</w:t>
      </w:r>
    </w:p>
    <w:p>
      <w:pPr>
        <w:pStyle w:val="Heading1"/>
        <w:pBdr>
          <w:bottom w:val="single" w:color="0F766E" w:sz="2" w:space="4"/>
        </w:pBdr>
        <w:spacing w:after="120" w:before="360"/>
      </w:pPr>
      <w:r>
        <w:rPr>
          <w:rFonts w:ascii="Cambria" w:cs="Cambria" w:eastAsia="Cambria" w:hAnsi="Cambria"/>
          <w:b/>
          <w:bCs/>
          <w:color w:val="134E4A"/>
          <w:sz w:val="28"/>
          <w:szCs w:val="28"/>
        </w:rPr>
        <w:t xml:space="preserve">Annexe  —  Matrice des permissions (extrait)</w:t>
      </w:r>
    </w:p>
    <w:tbl>
      <w:tblPr>
        <w:tblW w:type="dxa" w:w="9000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auto" w:sz="4"/>
          <w:insideV w:val="single" w:color="auto" w:sz="4"/>
        </w:tblBorders>
      </w:tblPr>
      <w:tblGrid>
        <w:gridCol w:w="2600"/>
        <w:gridCol w:w="1100"/>
        <w:gridCol w:w="1100"/>
        <w:gridCol w:w="1100"/>
        <w:gridCol w:w="1100"/>
        <w:gridCol w:w="1100"/>
        <w:gridCol w:w="1100"/>
      </w:tblGrid>
      <w:tr>
        <w:tc>
          <w:tcPr>
            <w:tcW w:type="dxa" w:w="26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Permission</w:t>
            </w:r>
          </w:p>
        </w:tc>
        <w:tc>
          <w:tcPr>
            <w:tcW w:type="dxa" w:w="1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SUPER_ADMIN</w:t>
            </w:r>
          </w:p>
        </w:tc>
        <w:tc>
          <w:tcPr>
            <w:tcW w:type="dxa" w:w="1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Assurance</w:t>
            </w:r>
          </w:p>
        </w:tc>
        <w:tc>
          <w:tcPr>
            <w:tcW w:type="dxa" w:w="1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Support</w:t>
            </w:r>
          </w:p>
        </w:tc>
        <w:tc>
          <w:tcPr>
            <w:tcW w:type="dxa" w:w="1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Médecin</w:t>
            </w:r>
          </w:p>
        </w:tc>
        <w:tc>
          <w:tcPr>
            <w:tcW w:type="dxa" w:w="1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Pharmacie</w:t>
            </w:r>
          </w:p>
        </w:tc>
        <w:tc>
          <w:tcPr>
            <w:tcW w:type="dxa" w:w="1100"/>
            <w:shd w:fill="134E4A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Membre</w:t>
            </w:r>
          </w:p>
        </w:tc>
      </w:tr>
      <w:tr>
        <w:tc>
          <w:tcPr>
            <w:tcW w:type="dxa" w:w="26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provider.prescribe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provider.verify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provider.thirdparty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provider.staff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 (admin étab.)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 (admin étab.)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products.manage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600"/>
            <w:shd w:fill="F8FAFC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claims.decide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✓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100"/>
            <w:shd w:fill="FFFFFF" w:val="clear"/>
            <w:vAlign w:val="center"/>
          </w:tcPr>
          <w:p>
            <w:r>
              <w:rPr>
                <w:rFonts w:ascii="Calibri" w:cs="Calibri" w:eastAsia="Calibri" w:hAnsi="Calibri"/>
                <w:color w:val="1E293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4748B"/>
          <w:sz w:val="18"/>
          <w:szCs w:val="18"/>
        </w:rPr>
        <w:t xml:space="preserve">La matrice complète (12 clés) est éditable dans /admin/roles sans redéploiement.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4"/>
        <w:szCs w:val="14"/>
      </w:rPr>
      <w:t xml:space="preserve">  —  SantéPlus Bénin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1" w:space="4"/>
      </w:pBdr>
      <w:jc w:val="right"/>
    </w:pPr>
    <w:r>
      <w:rPr>
        <w:rFonts w:ascii="Calibri" w:cs="Calibri" w:eastAsia="Calibri" w:hAnsi="Calibri"/>
        <w:color w:val="64748B"/>
        <w:sz w:val="14"/>
        <w:szCs w:val="14"/>
      </w:rPr>
      <w:t xml:space="preserve">SantéPlus Bénin  •  Guide des interfaces &amp; procédures  •  Confidentiel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rFonts w:ascii="Cambria" w:cs="Cambria" w:eastAsia="Cambria" w:hAnsi="Cambria"/>
      <w:color w:val="134E4A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color w:val="1E293B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color w:val="0F766E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80"/>
    </w:pPr>
    <w:rPr>
      <w:rFonts w:ascii="Calibri" w:cs="Calibri" w:eastAsia="Calibri" w:hAnsi="Calibri"/>
      <w:color w:val="1E293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2026-08-25T16:19:31.473Z</dcterms:created>
  <dcterms:modified xsi:type="dcterms:W3CDTF">2026-08-25T16:19:31.474Z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