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  <w:jc w:val="center"/>
      </w:pPr>
      <w:r>
        <w:rPr>
          <w:rFonts w:ascii="Cambria" w:cs="Cambria" w:eastAsia="Cambria" w:hAnsi="Cambria"/>
          <w:b/>
          <w:bCs/>
          <w:color w:val="134E4A"/>
          <w:sz w:val="44"/>
          <w:szCs w:val="44"/>
        </w:rPr>
        <w:t xml:space="preserve">SantéPlus Bénin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Plateforme digitale de mutuelle / assurance santé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0F766E"/>
          <w:spacing w:val="40"/>
          <w:sz w:val="26"/>
          <w:szCs w:val="26"/>
        </w:rPr>
        <w:t xml:space="preserve">GUIDE DES INTERFACES &amp; PROCÉDURES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64748B"/>
          <w:sz w:val="18"/>
          <w:szCs w:val="18"/>
        </w:rPr>
        <w:t xml:space="preserve">Parcours de soins  •  Prescriptions  •  Tiers payant  •  Comptabilité OHADA  •  Référentiels  •  PWA</w:t>
      </w:r>
    </w:p>
    <w:p>
      <w:pPr>
        <w:shd w:fill="F0FDFA" w:val="clear"/>
        <w:spacing w:after="600"/>
        <w:jc w:val="center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À l’attention de la Direction Générale, de la Direction Technique et des équipes métier
pour validation : ce qui est implémenté, comment ça marche, quoi ajuster</w:t>
      </w:r>
    </w:p>
    <w:p>
      <w:pPr>
        <w:spacing w:before="400"/>
        <w:jc w:val="center"/>
      </w:pPr>
      <w:r>
        <w:rPr>
          <w:rFonts w:ascii="Calibri" w:cs="Calibri" w:eastAsia="Calibri" w:hAnsi="Calibri"/>
          <w:color w:val="64748B"/>
          <w:sz w:val="16"/>
          <w:szCs w:val="16"/>
        </w:rPr>
        <w:t xml:space="preserve">Version 1.4  •  05 septembre 2026  •  Ref. GUIDE-INTERFACES-004 — compta OHADA + branches/CIM10 + PEC hosp + GED/RGPD + PWA + photos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64748B"/>
          <w:sz w:val="14"/>
          <w:szCs w:val="14"/>
        </w:rPr>
        <w:t xml:space="preserve">Document confidentiel — usage interne</w:t>
      </w:r>
    </w:p>
    <w:p>
      <w:r>
        <w:br w:type="page"/>
      </w:r>
    </w:p>
    <w:p>
      <w:pPr>
        <w:pStyle w:val="Heading1"/>
      </w:pPr>
      <w:r>
        <w:rPr>
          <w:rFonts w:ascii="Cambria" w:cs="Cambria" w:eastAsia="Cambria" w:hAnsi="Cambria"/>
          <w:b/>
          <w:bCs/>
          <w:color w:val="134E4A"/>
          <w:sz w:val="28"/>
          <w:szCs w:val="28"/>
        </w:rPr>
        <w:t xml:space="preserve">Sommaire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8"/>
          <w:szCs w:val="18"/>
        </w:rPr>
        <w:t xml:space="preserve">Le sommaire est généré automatiquement par Word à partir des titres. Dans Word : Références → Table des matières → Mettre à jour la table.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8"/>
          <w:szCs w:val="18"/>
        </w:rPr>
        <w:t xml:space="preserve">Astuce : Ctrl+clic sur une entrée pour naviguer directement à la section.</w:t>
      </w:r>
    </w:p>
    <w:p>
      <w:pPr>
        <w:pStyle w:val="Heading1"/>
        <w:pBdr>
          <w:bottom w:val="single" w:color="0F766E" w:sz="2" w:space="4"/>
        </w:pBdr>
        <w:spacing w:after="120" w:before="360"/>
      </w:pPr>
      <w:r>
        <w:rPr>
          <w:rFonts w:ascii="Cambria" w:cs="Cambria" w:eastAsia="Cambria" w:hAnsi="Cambria"/>
          <w:b/>
          <w:bCs/>
          <w:color w:val="134E4A"/>
          <w:sz w:val="28"/>
          <w:szCs w:val="28"/>
        </w:rPr>
        <w:t xml:space="preserve">1  —  Objet du document &amp; méthode de validation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18"/>
          <w:szCs w:val="18"/>
        </w:rPr>
        <w:t xml:space="preserve">Ce guide décrit, interface par interface, ce que fait chaque écran, les options qu’il offre et la procédure exacte à suivre. Il sert de support de revue : vous pouvez annoter directement ce document (mode Révision de Word) pour indiquer ce qui manque, doit être corrigé ou ajouté.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Comment valider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Parcourez chaque section dans l’ordre : le flux est présenté dans l’ordre chronologique du parcours de soins.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Pour chaque page, vérifiez : les champs affichés, les boutons proposés, les contrôles automatiques et les messages d’erreur.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Notez vos retours dans la grille du chapitre 14 ou en commentaires Word (Insertion → Nouveau commentaire).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Les captures conceptuelles sont intentionnellement schématiques : l’interface réelle (http://localhost:5173 en local) fait foi pour le rendu exact.</w:t>
      </w:r>
    </w:p>
    <w:p>
      <w:pPr>
        <w:shd w:fill="F0FDFA" w:color="auto" w:val="clear"/>
        <w:spacing w:after="80" w:before="80"/>
        <w:ind w:left="200"/>
      </w:pPr>
      <w:r>
        <w:rPr>
          <w:rFonts w:ascii="Calibri" w:cs="Calibri" w:eastAsia="Calibri" w:hAnsi="Calibri"/>
          <w:i/>
          <w:iCs/>
          <w:color w:val="64748B"/>
          <w:sz w:val="17"/>
          <w:szCs w:val="17"/>
        </w:rPr>
        <w:t xml:space="preserve">▸ Conventions : [QR] = jeton QR opaque ; FCFA = montants entiers ; les statuts en MAJUSCULES sont les valeurs techniques affichées avec un badge couleur.</w:t>
      </w:r>
    </w:p>
    <w:p>
      <w:pPr>
        <w:pStyle w:val="Heading1"/>
        <w:pBdr>
          <w:bottom w:val="single" w:color="0F766E" w:sz="2" w:space="4"/>
        </w:pBdr>
        <w:spacing w:after="120" w:before="360"/>
      </w:pPr>
      <w:r>
        <w:rPr>
          <w:rFonts w:ascii="Cambria" w:cs="Cambria" w:eastAsia="Cambria" w:hAnsi="Cambria"/>
          <w:b/>
          <w:bCs/>
          <w:color w:val="134E4A"/>
          <w:sz w:val="28"/>
          <w:szCs w:val="28"/>
        </w:rPr>
        <w:t xml:space="preserve">2  —  Cartographie des rôles &amp; accès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18"/>
          <w:szCs w:val="18"/>
        </w:rPr>
        <w:t xml:space="preserve">La plateforme compte 6 rôles opérationnels. Chaque rôle ne voit que les données et actions strictement nécessaires à sa mission (principe du moindre privilège).</w:t>
      </w:r>
    </w:p>
    <w:tbl>
      <w:tblPr>
        <w:tblW w:type="dxa" w:w="90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2100"/>
        <w:gridCol w:w="2200"/>
        <w:gridCol w:w="2100"/>
        <w:gridCol w:w="2600"/>
      </w:tblGrid>
      <w:tr>
        <w:tc>
          <w:tcPr>
            <w:tcW w:type="dxa" w:w="210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Rôle</w:t>
            </w:r>
          </w:p>
        </w:tc>
        <w:tc>
          <w:tcPr>
            <w:tcW w:type="dxa" w:w="220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Qui ?</w:t>
            </w:r>
          </w:p>
        </w:tc>
        <w:tc>
          <w:tcPr>
            <w:tcW w:type="dxa" w:w="210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Espace</w:t>
            </w:r>
          </w:p>
        </w:tc>
        <w:tc>
          <w:tcPr>
            <w:tcW w:type="dxa" w:w="260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Données visibles</w:t>
            </w:r>
          </w:p>
        </w:tc>
      </w:tr>
      <w:tr>
        <w:tc>
          <w:tcPr>
            <w:tcW w:type="dxa" w:w="21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Assuré / Bénéficiaire</w:t>
            </w:r>
          </w:p>
        </w:tc>
        <w:tc>
          <w:tcPr>
            <w:tcW w:type="dxa" w:w="2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Particulier ou salarié + ayants droit</w:t>
            </w:r>
          </w:p>
        </w:tc>
        <w:tc>
          <w:tcPr>
            <w:tcW w:type="dxa" w:w="21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/app</w:t>
            </w:r>
          </w:p>
        </w:tc>
        <w:tc>
          <w:tcPr>
            <w:tcW w:type="dxa" w:w="26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Ses contrats, garanties, plafonds, consultations, ordonnances, délivrances, factures, timeline complète de ses dossiers</w:t>
            </w:r>
          </w:p>
        </w:tc>
      </w:tr>
      <w:tr>
        <w:tc>
          <w:tcPr>
            <w:tcW w:type="dxa" w:w="21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Médecin / Prescripteur</w:t>
            </w:r>
          </w:p>
        </w:tc>
        <w:tc>
          <w:tcPr>
            <w:tcW w:type="dxa" w:w="2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Personnel habilité d’une clinique/hôpital</w:t>
            </w:r>
          </w:p>
        </w:tc>
        <w:tc>
          <w:tcPr>
            <w:tcW w:type="dxa" w:w="21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/prestataire (prescrire)</w:t>
            </w:r>
          </w:p>
        </w:tc>
        <w:tc>
          <w:tcPr>
            <w:tcW w:type="dxa" w:w="26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Patients de son établissement : motif, diagnostic, prescriptions qu’il a créées</w:t>
            </w:r>
          </w:p>
        </w:tc>
      </w:tr>
      <w:tr>
        <w:tc>
          <w:tcPr>
            <w:tcW w:type="dxa" w:w="21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Pharmacie</w:t>
            </w:r>
          </w:p>
        </w:tc>
        <w:tc>
          <w:tcPr>
            <w:tcW w:type="dxa" w:w="2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Personnel officine partenaire</w:t>
            </w:r>
          </w:p>
        </w:tc>
        <w:tc>
          <w:tcPr>
            <w:tcW w:type="dxa" w:w="21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/prestataire (délivrer)</w:t>
            </w:r>
          </w:p>
        </w:tc>
        <w:tc>
          <w:tcPr>
            <w:tcW w:type="dxa" w:w="26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Ordonnances à délivrer, produits prescrits, couverture nécessaire — pas le dossier médical complet</w:t>
            </w:r>
          </w:p>
        </w:tc>
      </w:tr>
      <w:tr>
        <w:tc>
          <w:tcPr>
            <w:tcW w:type="dxa" w:w="21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Laboratoire / Imagerie</w:t>
            </w:r>
          </w:p>
        </w:tc>
        <w:tc>
          <w:tcPr>
            <w:tcW w:type="dxa" w:w="2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Techniciens</w:t>
            </w:r>
          </w:p>
        </w:tc>
        <w:tc>
          <w:tcPr>
            <w:tcW w:type="dxa" w:w="21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/prestataire (délivrer)</w:t>
            </w:r>
          </w:p>
        </w:tc>
        <w:tc>
          <w:tcPr>
            <w:tcW w:type="dxa" w:w="26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Examens prescrits uniquement</w:t>
            </w:r>
          </w:p>
        </w:tc>
      </w:tr>
      <w:tr>
        <w:tc>
          <w:tcPr>
            <w:tcW w:type="dxa" w:w="21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Gestionnaire assurance</w:t>
            </w:r>
          </w:p>
        </w:tc>
        <w:tc>
          <w:tcPr>
            <w:tcW w:type="dxa" w:w="2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Back-office assureur</w:t>
            </w:r>
          </w:p>
        </w:tc>
        <w:tc>
          <w:tcPr>
            <w:tcW w:type="dxa" w:w="21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/admin</w:t>
            </w:r>
          </w:p>
        </w:tc>
        <w:tc>
          <w:tcPr>
            <w:tcW w:type="dxa" w:w="26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Tous les dossiers, contrats, factures, plafonds consommés, anomalies — pas le contenu médical modifiable</w:t>
            </w:r>
          </w:p>
        </w:tc>
      </w:tr>
      <w:tr>
        <w:tc>
          <w:tcPr>
            <w:tcW w:type="dxa" w:w="21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Administrateur plateforme</w:t>
            </w:r>
          </w:p>
        </w:tc>
        <w:tc>
          <w:tcPr>
            <w:tcW w:type="dxa" w:w="2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Super admin</w:t>
            </w:r>
          </w:p>
        </w:tc>
        <w:tc>
          <w:tcPr>
            <w:tcW w:type="dxa" w:w="21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/admin + config</w:t>
            </w:r>
          </w:p>
        </w:tc>
        <w:tc>
          <w:tcPr>
            <w:tcW w:type="dxa" w:w="26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Tout + produits, partenaires, rôles, audit, paramètres</w:t>
            </w:r>
          </w:p>
        </w:tc>
      </w:tr>
    </w:tbl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Entreprise : cas particulier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18"/>
          <w:szCs w:val="18"/>
        </w:rPr>
        <w:t xml:space="preserve">L’entreprise est un souscripteur (compte COMPANY_ADMIN sur /entreprise), pas un soignant. Elle ne voit jamais le détail médical de ses salariés : uniquement des agrégats (ex. sinistralité globale) et des données administratives (cotisations, mouvements). Le cloisonnement est contrôlé côté API : toute tentative d’accès au détail médical renvoie « Accès restreint ».</w:t>
      </w:r>
    </w:p>
    <w:p>
      <w:pPr>
        <w:shd w:fill="F0FDFA" w:color="auto" w:val="clear"/>
        <w:spacing w:after="80" w:before="80"/>
        <w:ind w:left="200"/>
      </w:pPr>
      <w:r>
        <w:rPr>
          <w:rFonts w:ascii="Calibri" w:cs="Calibri" w:eastAsia="Calibri" w:hAnsi="Calibri"/>
          <w:i/>
          <w:iCs/>
          <w:color w:val="64748B"/>
          <w:sz w:val="17"/>
          <w:szCs w:val="17"/>
        </w:rPr>
        <w:t xml:space="preserve">▸ Multi-utilisateurs par établissement : un administrateur d’établissement (ex. Clinique Mahouna) peut créer des comptes pour son personnel (médecin, infirmier, caissier, facturation) depuis /prestataire/personnel, avec suspension et reset de mot de passe.</w:t>
      </w:r>
    </w:p>
    <w:p>
      <w:pPr>
        <w:pStyle w:val="Heading1"/>
        <w:pBdr>
          <w:bottom w:val="single" w:color="0F766E" w:sz="2" w:space="4"/>
        </w:pBdr>
        <w:spacing w:after="120" w:before="360"/>
      </w:pPr>
      <w:r>
        <w:rPr>
          <w:rFonts w:ascii="Cambria" w:cs="Cambria" w:eastAsia="Cambria" w:hAnsi="Cambria"/>
          <w:b/>
          <w:bCs/>
          <w:color w:val="134E4A"/>
          <w:sz w:val="28"/>
          <w:szCs w:val="28"/>
        </w:rPr>
        <w:t xml:space="preserve">3  —  Espace Assuré  (/app)  —  13 entrées de menu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8"/>
          <w:szCs w:val="18"/>
        </w:rPr>
        <w:t xml:space="preserve">Objectif : permettre à l’assuré (et à ses ayants droit) de suivre son parcours de soins de bout en bout sans appeler un gestionnaire.</w:t>
      </w:r>
    </w:p>
    <w:p>
      <w:pPr>
        <w:pStyle w:val="Heading2"/>
        <w:spacing w:after="80" w:before="260"/>
      </w:pPr>
      <w:r>
        <w:rPr>
          <w:rFonts w:ascii="Cambria" w:cs="Cambria" w:eastAsia="Cambria" w:hAnsi="Cambria"/>
          <w:b/>
          <w:bCs/>
          <w:color w:val="1E293B"/>
          <w:sz w:val="24"/>
          <w:szCs w:val="24"/>
        </w:rPr>
        <w:t xml:space="preserve">3.1  Tableau de bord  (/app)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18"/>
          <w:szCs w:val="18"/>
        </w:rPr>
        <w:t xml:space="preserve">Vue d’ensemble en 3 stat-cards (Contrat / Validité / Statut) + alertes + 2 colonnes.</w:t>
      </w:r>
    </w:p>
    <w:tbl>
      <w:tblPr>
        <w:tblW w:type="dxa" w:w="90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2200"/>
        <w:gridCol w:w="3200"/>
        <w:gridCol w:w="2200"/>
        <w:gridCol w:w="1400"/>
      </w:tblGrid>
      <w:tr>
        <w:tc>
          <w:tcPr>
            <w:tcW w:type="dxa" w:w="220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Bloc</w:t>
            </w:r>
          </w:p>
        </w:tc>
        <w:tc>
          <w:tcPr>
            <w:tcW w:type="dxa" w:w="320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Contenu affiché</w:t>
            </w:r>
          </w:p>
        </w:tc>
        <w:tc>
          <w:tcPr>
            <w:tcW w:type="dxa" w:w="220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Options / Actions</w:t>
            </w:r>
          </w:p>
        </w:tc>
        <w:tc>
          <w:tcPr>
            <w:tcW w:type="dxa" w:w="140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Source des données</w:t>
            </w:r>
          </w:p>
        </w:tc>
      </w:tr>
      <w:tr>
        <w:tc>
          <w:tcPr>
            <w:tcW w:type="dxa" w:w="22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Contrat</w:t>
            </w:r>
          </w:p>
        </w:tc>
        <w:tc>
          <w:tcPr>
            <w:tcW w:type="dxa" w:w="3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Numéro, produit, statut (badge couleur)</w:t>
            </w:r>
          </w:p>
        </w:tc>
        <w:tc>
          <w:tcPr>
            <w:tcW w:type="dxa" w:w="2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Contract</w:t>
            </w:r>
          </w:p>
        </w:tc>
      </w:tr>
      <w:tr>
        <w:tc>
          <w:tcPr>
            <w:tcW w:type="dxa" w:w="22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Validité</w:t>
            </w:r>
          </w:p>
        </w:tc>
        <w:tc>
          <w:tcPr>
            <w:tcW w:type="dxa" w:w="3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Début → fin, jours restants</w:t>
            </w:r>
          </w:p>
        </w:tc>
        <w:tc>
          <w:tcPr>
            <w:tcW w:type="dxa" w:w="2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Renouveler maintenant (si ≤ 30 j)</w:t>
            </w:r>
          </w:p>
        </w:tc>
        <w:tc>
          <w:tcPr>
            <w:tcW w:type="dxa" w:w="14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Contract.startDate/endDate + calcul</w:t>
            </w:r>
          </w:p>
        </w:tc>
      </w:tr>
      <w:tr>
        <w:tc>
          <w:tcPr>
            <w:tcW w:type="dxa" w:w="22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Demandes récentes</w:t>
            </w:r>
          </w:p>
        </w:tc>
        <w:tc>
          <w:tcPr>
            <w:tcW w:type="dxa" w:w="3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4 dernières : réf., date soins, montant, statut</w:t>
            </w:r>
          </w:p>
        </w:tc>
        <w:tc>
          <w:tcPr>
            <w:tcW w:type="dxa" w:w="2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Tout voir → /app/remboursements</w:t>
            </w:r>
          </w:p>
        </w:tc>
        <w:tc>
          <w:tcPr>
            <w:tcW w:type="dxa" w:w="14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Claim</w:t>
            </w:r>
          </w:p>
        </w:tc>
      </w:tr>
      <w:tr>
        <w:tc>
          <w:tcPr>
            <w:tcW w:type="dxa" w:w="22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Établissements proches</w:t>
            </w:r>
          </w:p>
        </w:tc>
        <w:tc>
          <w:tcPr>
            <w:tcW w:type="dxa" w:w="3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3 plus proches (Cotonou par défaut)</w:t>
            </w:r>
          </w:p>
        </w:tc>
        <w:tc>
          <w:tcPr>
            <w:tcW w:type="dxa" w:w="2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Annuaire →</w:t>
            </w:r>
          </w:p>
        </w:tc>
        <w:tc>
          <w:tcPr>
            <w:tcW w:type="dxa" w:w="14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Provider (tri haversine si géoloc)</w:t>
            </w:r>
          </w:p>
        </w:tc>
      </w:tr>
      <w:tr>
        <w:tc>
          <w:tcPr>
            <w:tcW w:type="dxa" w:w="22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Carte d’assuré</w:t>
            </w:r>
          </w:p>
        </w:tc>
        <w:tc>
          <w:tcPr>
            <w:tcW w:type="dxa" w:w="3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Bandeau sombre avec CTA</w:t>
            </w:r>
          </w:p>
        </w:tc>
        <w:tc>
          <w:tcPr>
            <w:tcW w:type="dxa" w:w="2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Voir ma carte → /app/carte</w:t>
            </w:r>
          </w:p>
        </w:tc>
        <w:tc>
          <w:tcPr>
            <w:tcW w:type="dxa" w:w="14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Contract.cardToken</w:t>
            </w:r>
          </w:p>
        </w:tc>
      </w:tr>
    </w:tbl>
    <w:p>
      <w:pPr>
        <w:pStyle w:val="Heading2"/>
        <w:spacing w:after="80" w:before="260"/>
      </w:pPr>
      <w:r>
        <w:rPr>
          <w:rFonts w:ascii="Cambria" w:cs="Cambria" w:eastAsia="Cambria" w:hAnsi="Cambria"/>
          <w:b/>
          <w:bCs/>
          <w:color w:val="1E293B"/>
          <w:sz w:val="24"/>
          <w:szCs w:val="24"/>
        </w:rPr>
        <w:t xml:space="preserve">3.2  Ma couverture — Mon contrat  (/app/contrat)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18"/>
          <w:szCs w:val="18"/>
        </w:rPr>
        <w:t xml:space="preserve">Fiche contrat + plafonds restants par garantie (barre de progression, reste/illimité) + échéancier des cotisations.</w:t>
      </w:r>
    </w:p>
    <w:tbl>
      <w:tblPr>
        <w:tblW w:type="dxa" w:w="90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2520"/>
        <w:gridCol w:w="3240"/>
        <w:gridCol w:w="3240"/>
      </w:tblGrid>
      <w:tr>
        <w:tc>
          <w:tcPr>
            <w:tcW w:type="dxa" w:w="252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Élément</w:t>
            </w:r>
          </w:p>
        </w:tc>
        <w:tc>
          <w:tcPr>
            <w:tcW w:type="dxa" w:w="324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Options</w:t>
            </w:r>
          </w:p>
        </w:tc>
        <w:tc>
          <w:tcPr>
            <w:tcW w:type="dxa" w:w="324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Procédure</w:t>
            </w:r>
          </w:p>
        </w:tc>
      </w:tr>
      <w:tr>
        <w:tc>
          <w:tcPr>
            <w:tcW w:type="dxa" w:w="252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Statut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Actif / Suspendu / Expiré… (badge)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52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Plafonds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Reste par catégorie (indicateur visuel)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— (calcul : plafond − éligible consommé dans l’année d’anniversaire)</w:t>
            </w:r>
          </w:p>
        </w:tc>
      </w:tr>
      <w:tr>
        <w:tc>
          <w:tcPr>
            <w:tcW w:type="dxa" w:w="252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Échéances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En attente / En retard / Payée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Si PAIEMENT EN ATTENTE : choisir le moyen (MOCK/FedaPay/CinetPay) → Payer → contrat ACTIVÉ</w:t>
            </w:r>
          </w:p>
        </w:tc>
      </w:tr>
      <w:tr>
        <w:tc>
          <w:tcPr>
            <w:tcW w:type="dxa" w:w="252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Renouveler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Bouton si ≤ 30 j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POST /contracts/:id/renew → nouvelle échéance</w:t>
            </w:r>
          </w:p>
        </w:tc>
      </w:tr>
    </w:tbl>
    <w:p>
      <w:pPr>
        <w:pStyle w:val="Heading2"/>
        <w:spacing w:after="80" w:before="260"/>
      </w:pPr>
      <w:r>
        <w:rPr>
          <w:rFonts w:ascii="Cambria" w:cs="Cambria" w:eastAsia="Cambria" w:hAnsi="Cambria"/>
          <w:b/>
          <w:bCs/>
          <w:color w:val="1E293B"/>
          <w:sz w:val="24"/>
          <w:szCs w:val="24"/>
        </w:rPr>
        <w:t xml:space="preserve">3.3  Carte d’assuré  (/app/carte)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Affiche : titulaire, n° assuré (MEM-…), n° contrat (CTR-…), validité, produit + QR code SVG.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Le QR encode {"t":"jeton_32hex"} — jeton opaque, aucune donnée perso. Régénération possible (ancien jeton immédiatement invalide).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Usage : présenté au prestataire qui le scanne (caméra ou saisie) pour vérification serveur.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Photo obligatoire : portrait de l’assuré et de chaque ayant droit (upload /users/me/photo ou /beneficiaries/:id/photo) — affiché en 80 px sur la carte, 120 px côté prestataire avec case à cocher “Je confirme la photo correspond” bloquante.</w:t>
      </w:r>
    </w:p>
    <w:p>
      <w:pPr>
        <w:shd w:fill="F0FDFA" w:color="auto" w:val="clear"/>
        <w:spacing w:after="80" w:before="80"/>
        <w:ind w:left="200"/>
      </w:pPr>
      <w:r>
        <w:rPr>
          <w:rFonts w:ascii="Calibri" w:cs="Calibri" w:eastAsia="Calibri" w:hAnsi="Calibri"/>
          <w:i/>
          <w:iCs/>
          <w:color w:val="64748B"/>
          <w:sz w:val="17"/>
          <w:szCs w:val="17"/>
        </w:rPr>
        <w:t xml:space="preserve">▸ Si la photo manque, la carte affiche les initiales et un badge “Photo manquante — ajoutez-la depuis Profil” ; la vérification prestataire l’indique également.</w:t>
      </w:r>
    </w:p>
    <w:p>
      <w:pPr>
        <w:pStyle w:val="Heading2"/>
        <w:spacing w:after="80" w:before="260"/>
      </w:pPr>
      <w:r>
        <w:rPr>
          <w:rFonts w:ascii="Cambria" w:cs="Cambria" w:eastAsia="Cambria" w:hAnsi="Cambria"/>
          <w:b/>
          <w:bCs/>
          <w:color w:val="1E293B"/>
          <w:sz w:val="24"/>
          <w:szCs w:val="24"/>
        </w:rPr>
        <w:t xml:space="preserve">3.4  Ordonnances  (/app/ordonnances)  —  NOUVEAU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18"/>
          <w:szCs w:val="18"/>
        </w:rPr>
        <w:t xml:space="preserve">Liste de toutes les ordonnances du patient et de ses ayants droit. Chaque ligne : n° ORD-…, statut, validité, prescripteur.</w:t>
      </w:r>
    </w:p>
    <w:tbl>
      <w:tblPr>
        <w:tblW w:type="dxa" w:w="90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2520"/>
        <w:gridCol w:w="3240"/>
        <w:gridCol w:w="3240"/>
      </w:tblGrid>
      <w:tr>
        <w:tc>
          <w:tcPr>
            <w:tcW w:type="dxa" w:w="252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Statut</w:t>
            </w:r>
          </w:p>
        </w:tc>
        <w:tc>
          <w:tcPr>
            <w:tcW w:type="dxa" w:w="324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Signification</w:t>
            </w:r>
          </w:p>
        </w:tc>
        <w:tc>
          <w:tcPr>
            <w:tcW w:type="dxa" w:w="324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Options pour l’assuré</w:t>
            </w:r>
          </w:p>
        </w:tc>
      </w:tr>
      <w:tr>
        <w:tc>
          <w:tcPr>
            <w:tcW w:type="dxa" w:w="252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ACTIVE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Délivrable — quantité restante &gt; 0 et dans la fenêtre de validité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Détail &amp; QR · Imprimer l’ordonnance</w:t>
            </w:r>
          </w:p>
        </w:tc>
      </w:tr>
      <w:tr>
        <w:tc>
          <w:tcPr>
            <w:tcW w:type="dxa" w:w="252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PARTIALLY_EXECUTED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Partiellement délivrée — reste à délivrer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Idem</w:t>
            </w:r>
          </w:p>
        </w:tc>
      </w:tr>
      <w:tr>
        <w:tc>
          <w:tcPr>
            <w:tcW w:type="dxa" w:w="252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EXECUTED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Entièrement exécutée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Consultation seule</w:t>
            </w:r>
          </w:p>
        </w:tc>
      </w:tr>
      <w:tr>
        <w:tc>
          <w:tcPr>
            <w:tcW w:type="dxa" w:w="252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EXPIRED / CANCELLED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Périmée ou annulée par le prescripteur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Aucune délivrance possible</w:t>
            </w:r>
          </w:p>
        </w:tc>
      </w:tr>
    </w:tbl>
    <w:p>
      <w:pPr>
        <w:shd w:fill="F0FDFA" w:color="auto" w:val="clear"/>
        <w:spacing w:after="80" w:before="80"/>
        <w:ind w:left="200"/>
      </w:pPr>
      <w:r>
        <w:rPr>
          <w:rFonts w:ascii="Calibri" w:cs="Calibri" w:eastAsia="Calibri" w:hAnsi="Calibri"/>
          <w:i/>
          <w:iCs/>
          <w:color w:val="64748B"/>
          <w:sz w:val="17"/>
          <w:szCs w:val="17"/>
        </w:rPr>
        <w:t xml:space="preserve">▸ Renouvellements : si l’ordonnance est renouvelable (ex. 2×), le médecin peut prolonger la validité et remettre deliveredQty à 0 — l’assuré voit le compteur renouvellementsUsed / renewalsAllowed.</w:t>
      </w:r>
    </w:p>
    <w:p>
      <w:pPr>
        <w:pStyle w:val="Heading2"/>
        <w:spacing w:after="80" w:before="260"/>
      </w:pPr>
      <w:r>
        <w:rPr>
          <w:rFonts w:ascii="Cambria" w:cs="Cambria" w:eastAsia="Cambria" w:hAnsi="Cambria"/>
          <w:b/>
          <w:bCs/>
          <w:color w:val="1E293B"/>
          <w:sz w:val="24"/>
          <w:szCs w:val="24"/>
        </w:rPr>
        <w:t xml:space="preserve">3.5  Consultations  (/app/consultations)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18"/>
          <w:szCs w:val="18"/>
        </w:rPr>
        <w:t xml:space="preserve">Historique des consultations : référence CON-…, motif, diagnostic, praticien, date. Lien vers l’ordonnance générée le cas échéant.</w:t>
      </w:r>
    </w:p>
    <w:p>
      <w:pPr>
        <w:pStyle w:val="Heading2"/>
        <w:spacing w:after="80" w:before="260"/>
      </w:pPr>
      <w:r>
        <w:rPr>
          <w:rFonts w:ascii="Cambria" w:cs="Cambria" w:eastAsia="Cambria" w:hAnsi="Cambria"/>
          <w:b/>
          <w:bCs/>
          <w:color w:val="1E293B"/>
          <w:sz w:val="24"/>
          <w:szCs w:val="24"/>
        </w:rPr>
        <w:t xml:space="preserve">3.6  Mes soins — Dossiers de soins  (/app/soins)  —  NOUVEAU, CŒUR DU SYSTÈME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18"/>
          <w:szCs w:val="18"/>
        </w:rPr>
        <w:t xml:space="preserve">Agrège un épisode complet : consultation → prescription → délivrance(s) → prise en charge → facturation. Chaque dossier porte une référence DOS-… et une timeline horodatée.</w:t>
      </w:r>
    </w:p>
    <w:tbl>
      <w:tblPr>
        <w:tblW w:type="dxa" w:w="90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2200"/>
        <w:gridCol w:w="3400"/>
        <w:gridCol w:w="3400"/>
      </w:tblGrid>
      <w:tr>
        <w:tc>
          <w:tcPr>
            <w:tcW w:type="dxa" w:w="220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Bloc du dossier</w:t>
            </w:r>
          </w:p>
        </w:tc>
        <w:tc>
          <w:tcPr>
            <w:tcW w:type="dxa" w:w="340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Contenu</w:t>
            </w:r>
          </w:p>
        </w:tc>
        <w:tc>
          <w:tcPr>
            <w:tcW w:type="dxa" w:w="340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Procédure</w:t>
            </w:r>
          </w:p>
        </w:tc>
      </w:tr>
      <w:tr>
        <w:tc>
          <w:tcPr>
            <w:tcW w:type="dxa" w:w="22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En-tête</w:t>
            </w:r>
          </w:p>
        </w:tc>
        <w:tc>
          <w:tcPr>
            <w:tcW w:type="dxa" w:w="34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Référence DOS-…, statut OPEN, dates, patient</w:t>
            </w:r>
          </w:p>
        </w:tc>
        <w:tc>
          <w:tcPr>
            <w:tcW w:type="dxa" w:w="34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2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Consultation</w:t>
            </w:r>
          </w:p>
        </w:tc>
        <w:tc>
          <w:tcPr>
            <w:tcW w:type="dxa" w:w="34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Motif, diagnostic, praticien</w:t>
            </w:r>
          </w:p>
        </w:tc>
        <w:tc>
          <w:tcPr>
            <w:tcW w:type="dxa" w:w="34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— (créée par le médecin)</w:t>
            </w:r>
          </w:p>
        </w:tc>
      </w:tr>
      <w:tr>
        <w:tc>
          <w:tcPr>
            <w:tcW w:type="dxa" w:w="22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Ordonnance</w:t>
            </w:r>
          </w:p>
        </w:tc>
        <w:tc>
          <w:tcPr>
            <w:tcW w:type="dxa" w:w="34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Numéro, lignes, QR</w:t>
            </w:r>
          </w:p>
        </w:tc>
        <w:tc>
          <w:tcPr>
            <w:tcW w:type="dxa" w:w="34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Imprimer</w:t>
            </w:r>
          </w:p>
        </w:tc>
      </w:tr>
      <w:tr>
        <w:tc>
          <w:tcPr>
            <w:tcW w:type="dxa" w:w="22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Délivrance</w:t>
            </w:r>
          </w:p>
        </w:tc>
        <w:tc>
          <w:tcPr>
            <w:tcW w:type="dxa" w:w="34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Produits délivrés, montants, substitution éventuelle</w:t>
            </w:r>
          </w:p>
        </w:tc>
        <w:tc>
          <w:tcPr>
            <w:tcW w:type="dxa" w:w="34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2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Prise en charge</w:t>
            </w:r>
          </w:p>
        </w:tc>
        <w:tc>
          <w:tcPr>
            <w:tcW w:type="dxa" w:w="34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Estimation : couvert / reste à charge</w:t>
            </w:r>
          </w:p>
        </w:tc>
        <w:tc>
          <w:tcPr>
            <w:tcW w:type="dxa" w:w="34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2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Timeline</w:t>
            </w:r>
          </w:p>
        </w:tc>
        <w:tc>
          <w:tcPr>
            <w:tcW w:type="dxa" w:w="34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CONSULTATION_CREATED → PRESCRIPTION_CREATED → DELIVERY_CREATED → CLAIM_AUTHORIZED…</w:t>
            </w:r>
          </w:p>
        </w:tc>
        <w:tc>
          <w:tcPr>
            <w:tcW w:type="dxa" w:w="34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Filtrage par rôle : l’entreprise ne voit pas le médical</w:t>
            </w:r>
          </w:p>
        </w:tc>
      </w:tr>
    </w:tbl>
    <w:p>
      <w:pPr>
        <w:pStyle w:val="Heading2"/>
        <w:spacing w:after="80" w:before="260"/>
      </w:pPr>
      <w:r>
        <w:rPr>
          <w:rFonts w:ascii="Cambria" w:cs="Cambria" w:eastAsia="Cambria" w:hAnsi="Cambria"/>
          <w:b/>
          <w:bCs/>
          <w:color w:val="1E293B"/>
          <w:sz w:val="24"/>
          <w:szCs w:val="24"/>
        </w:rPr>
        <w:t xml:space="preserve">3.7  Remboursements  (/app/remboursements)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18"/>
          <w:szCs w:val="18"/>
        </w:rPr>
        <w:t xml:space="preserve">Deux modes coexistent désormais 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Remboursement classique : l’assuré photographie sa facture (POST /claims multipart) → estimation → file gestionnaire (approbation/refus) → paiement.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Tiers payant via ordonnance : aucune action de l’assuré — la prise en charge est créée côté prestataire et apparaît automatiquement dans ses prises en charge.</w:t>
      </w:r>
    </w:p>
    <w:p>
      <w:pPr>
        <w:pStyle w:val="Heading2"/>
        <w:spacing w:after="80" w:before="260"/>
      </w:pPr>
      <w:r>
        <w:rPr>
          <w:rFonts w:ascii="Cambria" w:cs="Cambria" w:eastAsia="Cambria" w:hAnsi="Cambria"/>
          <w:b/>
          <w:bCs/>
          <w:color w:val="1E293B"/>
          <w:sz w:val="24"/>
          <w:szCs w:val="24"/>
        </w:rPr>
        <w:t xml:space="preserve">3.8  Autres entrées assuré</w:t>
      </w:r>
    </w:p>
    <w:tbl>
      <w:tblPr>
        <w:tblW w:type="dxa" w:w="90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2300"/>
        <w:gridCol w:w="3300"/>
        <w:gridCol w:w="3400"/>
      </w:tblGrid>
      <w:tr>
        <w:tc>
          <w:tcPr>
            <w:tcW w:type="dxa" w:w="230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Entrée</w:t>
            </w:r>
          </w:p>
        </w:tc>
        <w:tc>
          <w:tcPr>
            <w:tcW w:type="dxa" w:w="330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Rôle</w:t>
            </w:r>
          </w:p>
        </w:tc>
        <w:tc>
          <w:tcPr>
            <w:tcW w:type="dxa" w:w="340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À vérifier</w:t>
            </w:r>
          </w:p>
        </w:tc>
      </w:tr>
      <w:tr>
        <w:tc>
          <w:tcPr>
            <w:tcW w:type="dxa" w:w="23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Ayants droit</w:t>
            </w:r>
          </w:p>
        </w:tc>
        <w:tc>
          <w:tcPr>
            <w:tcW w:type="dxa" w:w="33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Ajout conjoint/enfant selon règles produit (âge max, quota)</w:t>
            </w:r>
          </w:p>
        </w:tc>
        <w:tc>
          <w:tcPr>
            <w:tcW w:type="dxa" w:w="34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Règle du quota maxBeneficiaries par produit</w:t>
            </w:r>
          </w:p>
        </w:tc>
      </w:tr>
      <w:tr>
        <w:tc>
          <w:tcPr>
            <w:tcW w:type="dxa" w:w="23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Réseau de soins</w:t>
            </w:r>
          </w:p>
        </w:tc>
        <w:tc>
          <w:tcPr>
            <w:tcW w:type="dxa" w:w="33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Recherche q/type/ville + « Autour de moi » (géoloc)</w:t>
            </w:r>
          </w:p>
        </w:tc>
        <w:tc>
          <w:tcPr>
            <w:tcW w:type="dxa" w:w="34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Tri distance + badge Tiers payant</w:t>
            </w:r>
          </w:p>
        </w:tc>
      </w:tr>
      <w:tr>
        <w:tc>
          <w:tcPr>
            <w:tcW w:type="dxa" w:w="23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Paiements</w:t>
            </w:r>
          </w:p>
        </w:tc>
        <w:tc>
          <w:tcPr>
            <w:tcW w:type="dxa" w:w="33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Historique cotisations</w:t>
            </w:r>
          </w:p>
        </w:tc>
        <w:tc>
          <w:tcPr>
            <w:tcW w:type="dxa" w:w="34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Statut par échéance</w:t>
            </w:r>
          </w:p>
        </w:tc>
      </w:tr>
      <w:tr>
        <w:tc>
          <w:tcPr>
            <w:tcW w:type="dxa" w:w="23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Documents</w:t>
            </w:r>
          </w:p>
        </w:tc>
        <w:tc>
          <w:tcPr>
            <w:tcW w:type="dxa" w:w="33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Contrat, certificat PDF, attestation</w:t>
            </w:r>
          </w:p>
        </w:tc>
        <w:tc>
          <w:tcPr>
            <w:tcW w:type="dxa" w:w="34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Génération PDF (pdfkit) — vérifiez les mentions légales</w:t>
            </w:r>
          </w:p>
        </w:tc>
      </w:tr>
      <w:tr>
        <w:tc>
          <w:tcPr>
            <w:tcW w:type="dxa" w:w="23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Notifications</w:t>
            </w:r>
          </w:p>
        </w:tc>
        <w:tc>
          <w:tcPr>
            <w:tcW w:type="dxa" w:w="33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In-app + e-mail/SMS/WhatsApp (selon config)</w:t>
            </w:r>
          </w:p>
        </w:tc>
        <w:tc>
          <w:tcPr>
            <w:tcW w:type="dxa" w:w="34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Routage par sujet (NOTIFY_*_TOPICS)</w:t>
            </w:r>
          </w:p>
        </w:tc>
      </w:tr>
      <w:tr>
        <w:tc>
          <w:tcPr>
            <w:tcW w:type="dxa" w:w="23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Profil</w:t>
            </w:r>
          </w:p>
        </w:tc>
        <w:tc>
          <w:tcPr>
            <w:tcW w:type="dxa" w:w="33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Coordonnées, mot de passe</w:t>
            </w:r>
          </w:p>
        </w:tc>
        <w:tc>
          <w:tcPr>
            <w:tcW w:type="dxa" w:w="34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Chiffrement nationalIdEnc (AES-256-GCM)</w:t>
            </w:r>
          </w:p>
        </w:tc>
      </w:tr>
    </w:tbl>
    <w:p>
      <w:pPr>
        <w:pStyle w:val="Heading1"/>
        <w:pBdr>
          <w:bottom w:val="single" w:color="0F766E" w:sz="2" w:space="4"/>
        </w:pBdr>
        <w:spacing w:after="120" w:before="360"/>
      </w:pPr>
      <w:r>
        <w:rPr>
          <w:rFonts w:ascii="Cambria" w:cs="Cambria" w:eastAsia="Cambria" w:hAnsi="Cambria"/>
          <w:b/>
          <w:bCs/>
          <w:color w:val="134E4A"/>
          <w:sz w:val="28"/>
          <w:szCs w:val="28"/>
        </w:rPr>
        <w:t xml:space="preserve">4  —  Espace Médecin / Prescripteur  (/prestataire — permission provider.prescribe)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8"/>
          <w:szCs w:val="18"/>
        </w:rPr>
        <w:t xml:space="preserve">Réservé aux utilisateurs habilités (médecin, infirmier prescripteur). Le pharmacien/caissier sans cette permission ne voit pas ces pages.</w:t>
      </w:r>
    </w:p>
    <w:p>
      <w:pPr>
        <w:pStyle w:val="Heading2"/>
        <w:spacing w:after="80" w:before="260"/>
      </w:pPr>
      <w:r>
        <w:rPr>
          <w:rFonts w:ascii="Cambria" w:cs="Cambria" w:eastAsia="Cambria" w:hAnsi="Cambria"/>
          <w:b/>
          <w:bCs/>
          <w:color w:val="1E293B"/>
          <w:sz w:val="24"/>
          <w:szCs w:val="24"/>
        </w:rPr>
        <w:t xml:space="preserve">4.1  Consultations  (/prestataire/consultations)</w:t>
      </w:r>
    </w:p>
    <w:tbl>
      <w:tblPr>
        <w:tblW w:type="dxa" w:w="90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2520"/>
        <w:gridCol w:w="3240"/>
        <w:gridCol w:w="3240"/>
      </w:tblGrid>
      <w:tr>
        <w:tc>
          <w:tcPr>
            <w:tcW w:type="dxa" w:w="252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Option</w:t>
            </w:r>
          </w:p>
        </w:tc>
        <w:tc>
          <w:tcPr>
            <w:tcW w:type="dxa" w:w="324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Détail</w:t>
            </w:r>
          </w:p>
        </w:tc>
        <w:tc>
          <w:tcPr>
            <w:tcW w:type="dxa" w:w="324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Contrôles</w:t>
            </w:r>
          </w:p>
        </w:tc>
      </w:tr>
      <w:tr>
        <w:tc>
          <w:tcPr>
            <w:tcW w:type="dxa" w:w="252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Enregistrer une consultation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Champs : n° assuré/QR, motif, diagnostic, praticien, spécialité — bouton Enregistrer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Contrat du patient doit être ACTIF (sinon 400)</w:t>
            </w:r>
          </w:p>
        </w:tc>
      </w:tr>
      <w:tr>
        <w:tc>
          <w:tcPr>
            <w:tcW w:type="dxa" w:w="252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Liste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Référence CON-…, patient, praticien, motif, date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Filtre par q (motif, nom patient)</w:t>
            </w:r>
          </w:p>
        </w:tc>
      </w:tr>
    </w:tbl>
    <w:p>
      <w:pPr>
        <w:pStyle w:val="Heading2"/>
        <w:spacing w:after="80" w:before="260"/>
      </w:pPr>
      <w:r>
        <w:rPr>
          <w:rFonts w:ascii="Cambria" w:cs="Cambria" w:eastAsia="Cambria" w:hAnsi="Cambria"/>
          <w:b/>
          <w:bCs/>
          <w:color w:val="1E293B"/>
          <w:sz w:val="24"/>
          <w:szCs w:val="24"/>
        </w:rPr>
        <w:t xml:space="preserve">4.2  Ordonnances  (/prestataire/ordonnances)</w:t>
      </w:r>
    </w:p>
    <w:tbl>
      <w:tblPr>
        <w:tblW w:type="dxa" w:w="90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2520"/>
        <w:gridCol w:w="3240"/>
        <w:gridCol w:w="3240"/>
      </w:tblGrid>
      <w:tr>
        <w:tc>
          <w:tcPr>
            <w:tcW w:type="dxa" w:w="252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Option</w:t>
            </w:r>
          </w:p>
        </w:tc>
        <w:tc>
          <w:tcPr>
            <w:tcW w:type="dxa" w:w="324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Détail</w:t>
            </w:r>
          </w:p>
        </w:tc>
        <w:tc>
          <w:tcPr>
            <w:tcW w:type="dxa" w:w="324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Procédure</w:t>
            </w:r>
          </w:p>
        </w:tc>
      </w:tr>
      <w:tr>
        <w:tc>
          <w:tcPr>
            <w:tcW w:type="dxa" w:w="252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Scanner une ordonnance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QR ou n° ORD-… → affiche patient, validité, lignes avec remaining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GET /provider/prescriptions/scan — gère EXPIRED / EXECUTED</w:t>
            </w:r>
          </w:p>
        </w:tc>
      </w:tr>
      <w:tr>
        <w:tc>
          <w:tcPr>
            <w:tcW w:type="dxa" w:w="252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Nouvelle ordonnance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Depuis une consultation (pré-rempli) ou standalone : n° assuré, lignes (médicament/acte, quantité, prix, posologie, durée), validité (jours), renouvellements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POST /provider/prescriptions → n° ORD-… + QR — dossier de soins créé/mis à jour</w:t>
            </w:r>
          </w:p>
        </w:tc>
      </w:tr>
      <w:tr>
        <w:tc>
          <w:tcPr>
            <w:tcW w:type="dxa" w:w="252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Liste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Toutes les ordonnances de l’établissement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Filtre statut (ACTIVE, PARTIALLY_EXECUTED…)</w:t>
            </w:r>
          </w:p>
        </w:tc>
      </w:tr>
      <w:tr>
        <w:tc>
          <w:tcPr>
            <w:tcW w:type="dxa" w:w="252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Détail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QR imprimable, lignes avec délivré/restant, boutons Renouveler / Annuler / Imprimer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Renouvellement : deliveryQty remis à 0, validUntil +30 j, renewalsUsed++</w:t>
            </w:r>
          </w:p>
        </w:tc>
      </w:tr>
    </w:tbl>
    <w:p>
      <w:pPr>
        <w:shd w:fill="F0FDFA" w:color="auto" w:val="clear"/>
        <w:spacing w:after="80" w:before="80"/>
        <w:ind w:left="200"/>
      </w:pPr>
      <w:r>
        <w:rPr>
          <w:rFonts w:ascii="Calibri" w:cs="Calibri" w:eastAsia="Calibri" w:hAnsi="Calibri"/>
          <w:i/>
          <w:iCs/>
          <w:color w:val="64748B"/>
          <w:sz w:val="17"/>
          <w:szCs w:val="17"/>
        </w:rPr>
        <w:t xml:space="preserve">▸ Traçabilité : chaque prescription porte prescriberUserId + prescriberName — une pharmacie ne peut jamais créer une ordonnance (403).</w:t>
      </w:r>
    </w:p>
    <w:p>
      <w:pPr>
        <w:pStyle w:val="Heading1"/>
        <w:pBdr>
          <w:bottom w:val="single" w:color="0F766E" w:sz="2" w:space="4"/>
        </w:pBdr>
        <w:spacing w:after="120" w:before="360"/>
      </w:pPr>
      <w:r>
        <w:rPr>
          <w:rFonts w:ascii="Cambria" w:cs="Cambria" w:eastAsia="Cambria" w:hAnsi="Cambria"/>
          <w:b/>
          <w:bCs/>
          <w:color w:val="134E4A"/>
          <w:sz w:val="28"/>
          <w:szCs w:val="28"/>
        </w:rPr>
        <w:t xml:space="preserve">5  —  Espace Pharmacie  (/prestataire — Délivrances)</w:t>
      </w:r>
    </w:p>
    <w:p>
      <w:pPr>
        <w:pStyle w:val="Heading2"/>
        <w:spacing w:after="80" w:before="260"/>
      </w:pPr>
      <w:r>
        <w:rPr>
          <w:rFonts w:ascii="Cambria" w:cs="Cambria" w:eastAsia="Cambria" w:hAnsi="Cambria"/>
          <w:b/>
          <w:bCs/>
          <w:color w:val="1E293B"/>
          <w:sz w:val="24"/>
          <w:szCs w:val="24"/>
        </w:rPr>
        <w:t xml:space="preserve">5.1  Délivrer une ordonnance  (/prestataire/delivrances)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18"/>
          <w:szCs w:val="18"/>
        </w:rPr>
        <w:t xml:space="preserve">Flux imposé par le métier : ordonnance d’abord, délivrance ensuite. Le système refuse toute délivrance sans prescription valide lorsque l’acte l’exige.</w:t>
      </w:r>
    </w:p>
    <w:tbl>
      <w:tblPr>
        <w:tblW w:type="dxa" w:w="90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2520"/>
        <w:gridCol w:w="3240"/>
        <w:gridCol w:w="3240"/>
      </w:tblGrid>
      <w:tr>
        <w:tc>
          <w:tcPr>
            <w:tcW w:type="dxa" w:w="252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Étape</w:t>
            </w:r>
          </w:p>
        </w:tc>
        <w:tc>
          <w:tcPr>
            <w:tcW w:type="dxa" w:w="324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Action du pharmacien</w:t>
            </w:r>
          </w:p>
        </w:tc>
        <w:tc>
          <w:tcPr>
            <w:tcW w:type="dxa" w:w="324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Contrôle système</w:t>
            </w:r>
          </w:p>
        </w:tc>
      </w:tr>
      <w:tr>
        <w:tc>
          <w:tcPr>
            <w:tcW w:type="dxa" w:w="252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1. Charger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Scanner le QR ordonnance ou saisir le n° ORD-…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Ordonnance ACTIVE/PARTIALLY_EXECUTED, non expirée, patient trouvé</w:t>
            </w:r>
          </w:p>
        </w:tc>
      </w:tr>
      <w:tr>
        <w:tc>
          <w:tcPr>
            <w:tcW w:type="dxa" w:w="252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2. Lignes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Pour chaque ligne : quantité à délivrer ≤ remaining, note de substitution si produit différent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Reste disponible vérifié ligne par ligne</w:t>
            </w:r>
          </w:p>
        </w:tc>
      </w:tr>
      <w:tr>
        <w:tc>
          <w:tcPr>
            <w:tcW w:type="dxa" w:w="252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3. Envoyer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Confirmer la délivrance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→ contrat ACTIF, garantie PHARMACY, plafond restant, taux ; création Delivery + Claim THIRDPARTY (DEL-…, TPE-…) + dossier mis à jour</w:t>
            </w:r>
          </w:p>
        </w:tc>
      </w:tr>
      <w:tr>
        <w:tc>
          <w:tcPr>
            <w:tcW w:type="dxa" w:w="252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4. Résultat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Voir : total, couvert, reste à charge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Estimation du moteur (taux, franchise, plafond)</w:t>
            </w:r>
          </w:p>
        </w:tc>
      </w:tr>
    </w:tbl>
    <w:p>
      <w:pPr>
        <w:shd w:fill="F0FDFA" w:color="auto" w:val="clear"/>
        <w:spacing w:after="80" w:before="80"/>
        <w:ind w:left="200"/>
      </w:pPr>
      <w:r>
        <w:rPr>
          <w:rFonts w:ascii="Calibri" w:cs="Calibri" w:eastAsia="Calibri" w:hAnsi="Calibri"/>
          <w:i/>
          <w:iCs/>
          <w:color w:val="64748B"/>
          <w:sz w:val="17"/>
          <w:szCs w:val="17"/>
        </w:rPr>
        <w:t xml:space="preserve">▸ Délivrance partielle : le pharmacien peut ne délivrer que 2/3 lignes ; le reste reste disponible pour une autre pharmacie/laboratoire. Une fois quantity épuisée → prescription EXECUTED.</w:t>
      </w:r>
    </w:p>
    <w:p>
      <w:pPr>
        <w:pStyle w:val="Heading2"/>
        <w:spacing w:after="80" w:before="260"/>
      </w:pPr>
      <w:r>
        <w:rPr>
          <w:rFonts w:ascii="Cambria" w:cs="Cambria" w:eastAsia="Cambria" w:hAnsi="Cambria"/>
          <w:b/>
          <w:bCs/>
          <w:color w:val="1E293B"/>
          <w:sz w:val="24"/>
          <w:szCs w:val="24"/>
        </w:rPr>
        <w:t xml:space="preserve">5.2  Règles configurables par acte</w:t>
      </w:r>
    </w:p>
    <w:tbl>
      <w:tblPr>
        <w:tblW w:type="dxa" w:w="90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620"/>
        <w:gridCol w:w="3600"/>
        <w:gridCol w:w="1980"/>
        <w:gridCol w:w="1800"/>
      </w:tblGrid>
      <w:tr>
        <w:tc>
          <w:tcPr>
            <w:tcW w:type="dxa" w:w="162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Acte (exemple)</w:t>
            </w:r>
          </w:p>
        </w:tc>
        <w:tc>
          <w:tcPr>
            <w:tcW w:type="dxa" w:w="360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Prescription</w:t>
            </w:r>
          </w:p>
        </w:tc>
        <w:tc>
          <w:tcPr>
            <w:tcW w:type="dxa" w:w="198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Accord préalable</w:t>
            </w:r>
          </w:p>
        </w:tc>
        <w:tc>
          <w:tcPr>
            <w:tcW w:type="dxa" w:w="180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Effet si manquant</w:t>
            </w:r>
          </w:p>
        </w:tc>
      </w:tr>
      <w:tr>
        <w:tc>
          <w:tcPr>
            <w:tcW w:type="dxa" w:w="162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Paracétamol (OTC)</w:t>
            </w:r>
          </w:p>
        </w:tc>
        <w:tc>
          <w:tcPr>
            <w:tcW w:type="dxa" w:w="36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Non</w:t>
            </w:r>
          </w:p>
        </w:tc>
        <w:tc>
          <w:tcPr>
            <w:tcW w:type="dxa" w:w="198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Non</w:t>
            </w:r>
          </w:p>
        </w:tc>
        <w:tc>
          <w:tcPr>
            <w:tcW w:type="dxa" w:w="18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Délivrance directe autorisée</w:t>
            </w:r>
          </w:p>
        </w:tc>
      </w:tr>
      <w:tr>
        <w:tc>
          <w:tcPr>
            <w:tcW w:type="dxa" w:w="162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Amoxicilline</w:t>
            </w:r>
          </w:p>
        </w:tc>
        <w:tc>
          <w:tcPr>
            <w:tcW w:type="dxa" w:w="36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Oui</w:t>
            </w:r>
          </w:p>
        </w:tc>
        <w:tc>
          <w:tcPr>
            <w:tcW w:type="dxa" w:w="198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Non</w:t>
            </w:r>
          </w:p>
        </w:tc>
        <w:tc>
          <w:tcPr>
            <w:tcW w:type="dxa" w:w="18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Bloqué : « Aucune prescription valide trouvée »</w:t>
            </w:r>
          </w:p>
        </w:tc>
      </w:tr>
      <w:tr>
        <w:tc>
          <w:tcPr>
            <w:tcW w:type="dxa" w:w="162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Échographie</w:t>
            </w:r>
          </w:p>
        </w:tc>
        <w:tc>
          <w:tcPr>
            <w:tcW w:type="dxa" w:w="36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Oui</w:t>
            </w:r>
          </w:p>
        </w:tc>
        <w:tc>
          <w:tcPr>
            <w:tcW w:type="dxa" w:w="198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Non</w:t>
            </w:r>
          </w:p>
        </w:tc>
        <w:tc>
          <w:tcPr>
            <w:tcW w:type="dxa" w:w="18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Bloqué</w:t>
            </w:r>
          </w:p>
        </w:tc>
      </w:tr>
      <w:tr>
        <w:tc>
          <w:tcPr>
            <w:tcW w:type="dxa" w:w="162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Bloc opératoire</w:t>
            </w:r>
          </w:p>
        </w:tc>
        <w:tc>
          <w:tcPr>
            <w:tcW w:type="dxa" w:w="36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Oui</w:t>
            </w:r>
          </w:p>
        </w:tc>
        <w:tc>
          <w:tcPr>
            <w:tcW w:type="dxa" w:w="198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Oui</w:t>
            </w:r>
          </w:p>
        </w:tc>
        <w:tc>
          <w:tcPr>
            <w:tcW w:type="dxa" w:w="18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Bloqué + autorisation gestionnaire requise</w:t>
            </w:r>
          </w:p>
        </w:tc>
      </w:tr>
    </w:tbl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8"/>
          <w:szCs w:val="18"/>
        </w:rPr>
        <w:t xml:space="preserve">Ces drapeaux se paramètrent par acte (Act.requiresPrescription / requiresPriorAuth) et peuvent être surchargés par produit. Le moteur applique la règle de l’acte.</w:t>
      </w:r>
    </w:p>
    <w:p>
      <w:pPr>
        <w:pStyle w:val="Heading1"/>
        <w:pBdr>
          <w:bottom w:val="single" w:color="0F766E" w:sz="2" w:space="4"/>
        </w:pBdr>
        <w:spacing w:after="120" w:before="360"/>
      </w:pPr>
      <w:r>
        <w:rPr>
          <w:rFonts w:ascii="Cambria" w:cs="Cambria" w:eastAsia="Cambria" w:hAnsi="Cambria"/>
          <w:b/>
          <w:bCs/>
          <w:color w:val="134E4A"/>
          <w:sz w:val="28"/>
          <w:szCs w:val="28"/>
        </w:rPr>
        <w:t xml:space="preserve">6  —  Laboratoire / Imagerie / Clinique / Hôpital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18"/>
          <w:szCs w:val="18"/>
        </w:rPr>
        <w:t xml:space="preserve">Même parcours que la pharmacie, adapté à la spécialité : la prescription porte un actId LABORATORY / SPECIALIZED / HOSPITALIZATION. Le laboratoire voit uniquement les examens qui le concernent (filtre par catégorie).</w:t>
      </w:r>
    </w:p>
    <w:tbl>
      <w:tblPr>
        <w:tblW w:type="dxa" w:w="90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2520"/>
        <w:gridCol w:w="3240"/>
        <w:gridCol w:w="3240"/>
      </w:tblGrid>
      <w:tr>
        <w:tc>
          <w:tcPr>
            <w:tcW w:type="dxa" w:w="252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Établissement</w:t>
            </w:r>
          </w:p>
        </w:tc>
        <w:tc>
          <w:tcPr>
            <w:tcW w:type="dxa" w:w="324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Particularité</w:t>
            </w:r>
          </w:p>
        </w:tc>
        <w:tc>
          <w:tcPr>
            <w:tcW w:type="dxa" w:w="324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À vérifier</w:t>
            </w:r>
          </w:p>
        </w:tc>
      </w:tr>
      <w:tr>
        <w:tc>
          <w:tcPr>
            <w:tcW w:type="dxa" w:w="252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Laboratoire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Examens à jeun, résultats à transmettre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Prescription LABORATORY requise</w:t>
            </w:r>
          </w:p>
        </w:tc>
      </w:tr>
      <w:tr>
        <w:tc>
          <w:tcPr>
            <w:tcW w:type="dxa" w:w="252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Imagerie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Devis, autorisation préalable fréquente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Act.requiresPriorAuth contrôlé par le seuil thirdPartyAuthThreshold (défaut 150 000 FCFA)</w:t>
            </w:r>
          </w:p>
        </w:tc>
      </w:tr>
      <w:tr>
        <w:tc>
          <w:tcPr>
            <w:tcW w:type="dxa" w:w="252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Clinique/Hôpital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Admission, hospitalisation, chirurgie : demande d’autorisation via Claim AUTH_REQUIRED → décision gestionnaire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Suivi facturation provisoire → finale</w:t>
            </w:r>
          </w:p>
        </w:tc>
      </w:tr>
      <w:tr>
        <w:tc>
          <w:tcPr>
            <w:tcW w:type="dxa" w:w="252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Optique/Dentaire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Devis + fréquence de renouvellement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Plafonds spécifiques (ex. optique 100 000 FCFA)</w:t>
            </w:r>
          </w:p>
        </w:tc>
      </w:tr>
    </w:tbl>
    <w:p>
      <w:pPr>
        <w:pStyle w:val="Heading1"/>
        <w:pBdr>
          <w:bottom w:val="single" w:color="0F766E" w:sz="2" w:space="4"/>
        </w:pBdr>
        <w:spacing w:after="120" w:before="360"/>
      </w:pPr>
      <w:r>
        <w:rPr>
          <w:rFonts w:ascii="Cambria" w:cs="Cambria" w:eastAsia="Cambria" w:hAnsi="Cambria"/>
          <w:b/>
          <w:bCs/>
          <w:color w:val="134E4A"/>
          <w:sz w:val="28"/>
          <w:szCs w:val="28"/>
        </w:rPr>
        <w:t xml:space="preserve">7  —  Tiers payant — deux circuits coexistent</w:t>
      </w:r>
    </w:p>
    <w:tbl>
      <w:tblPr>
        <w:tblW w:type="dxa" w:w="90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2300"/>
        <w:gridCol w:w="2500"/>
        <w:gridCol w:w="3200"/>
        <w:gridCol w:w="2000"/>
      </w:tblGrid>
      <w:tr>
        <w:tc>
          <w:tcPr>
            <w:tcW w:type="dxa" w:w="230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Circuit</w:t>
            </w:r>
          </w:p>
        </w:tc>
        <w:tc>
          <w:tcPr>
            <w:tcW w:type="dxa" w:w="250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Quand</w:t>
            </w:r>
          </w:p>
        </w:tc>
        <w:tc>
          <w:tcPr>
            <w:tcW w:type="dxa" w:w="320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Qui crée la prise en charge</w:t>
            </w:r>
          </w:p>
        </w:tc>
        <w:tc>
          <w:tcPr>
            <w:tcW w:type="dxa" w:w="200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Calcul</w:t>
            </w:r>
          </w:p>
        </w:tc>
      </w:tr>
      <w:tr>
        <w:tc>
          <w:tcPr>
            <w:tcW w:type="dxa" w:w="23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Direct (ex. consultation)</w:t>
            </w:r>
          </w:p>
        </w:tc>
        <w:tc>
          <w:tcPr>
            <w:tcW w:type="dxa" w:w="25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Acte sans prescription requise</w:t>
            </w:r>
          </w:p>
        </w:tc>
        <w:tc>
          <w:tcPr>
            <w:tcW w:type="dxa" w:w="3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Le prestataire saisit l’acte → estimation immédiate</w:t>
            </w:r>
          </w:p>
        </w:tc>
        <w:tc>
          <w:tcPr>
            <w:tcW w:type="dxa" w:w="20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Taux/plafond du produit</w:t>
            </w:r>
          </w:p>
        </w:tc>
      </w:tr>
      <w:tr>
        <w:tc>
          <w:tcPr>
            <w:tcW w:type="dxa" w:w="23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Sur ordonnance (pharmacie, labo…)</w:t>
            </w:r>
          </w:p>
        </w:tc>
        <w:tc>
          <w:tcPr>
            <w:tcW w:type="dxa" w:w="25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Acte avec requiresPrescription</w:t>
            </w:r>
          </w:p>
        </w:tc>
        <w:tc>
          <w:tcPr>
            <w:tcW w:type="dxa" w:w="3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La délivrance crée automatiquement le Claim THIRDPARTY lié à l’ordonnance</w:t>
            </w:r>
          </w:p>
        </w:tc>
        <w:tc>
          <w:tcPr>
            <w:tcW w:type="dxa" w:w="20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Idem, mais filtré par la prescription</w:t>
            </w:r>
          </w:p>
        </w:tc>
      </w:tr>
    </w:tbl>
    <w:p>
      <w:pPr>
        <w:pStyle w:val="Heading2"/>
        <w:spacing w:after="80" w:before="260"/>
      </w:pPr>
      <w:r>
        <w:rPr>
          <w:rFonts w:ascii="Cambria" w:cs="Cambria" w:eastAsia="Cambria" w:hAnsi="Cambria"/>
          <w:b/>
          <w:bCs/>
          <w:color w:val="1E293B"/>
          <w:sz w:val="24"/>
          <w:szCs w:val="24"/>
        </w:rPr>
        <w:t xml:space="preserve">Circuit générique (legacy)  —  /prestataire/nouvelle → /provider/thirdparty/initiate + /confirm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18"/>
          <w:szCs w:val="18"/>
        </w:rPr>
        <w:t xml:space="preserve">Utilisé pour les consultations directes. Pour la pharmacie, ce circuit est désormais bloqué sans ordonnance : « Aucune prescription valide trouvée pour cette prestation » (400).</w:t>
      </w:r>
    </w:p>
    <w:p>
      <w:pPr>
        <w:pStyle w:val="Heading1"/>
        <w:pBdr>
          <w:bottom w:val="single" w:color="0F766E" w:sz="2" w:space="4"/>
        </w:pBdr>
        <w:spacing w:after="120" w:before="360"/>
      </w:pPr>
      <w:r>
        <w:rPr>
          <w:rFonts w:ascii="Cambria" w:cs="Cambria" w:eastAsia="Cambria" w:hAnsi="Cambria"/>
          <w:b/>
          <w:bCs/>
          <w:color w:val="134E4A"/>
          <w:sz w:val="28"/>
          <w:szCs w:val="28"/>
        </w:rPr>
        <w:t xml:space="preserve">8  —  Espace Prestataire — vue d’ensemble</w:t>
      </w:r>
    </w:p>
    <w:tbl>
      <w:tblPr>
        <w:tblW w:type="dxa" w:w="90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1800"/>
      </w:tblGrid>
      <w:tr>
        <w:tc>
          <w:tcPr>
            <w:tcW w:type="dxa" w:w="280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Entrée de menu</w:t>
            </w:r>
          </w:p>
        </w:tc>
        <w:tc>
          <w:tcPr>
            <w:tcW w:type="dxa" w:w="220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Route</w:t>
            </w:r>
          </w:p>
        </w:tc>
        <w:tc>
          <w:tcPr>
            <w:tcW w:type="dxa" w:w="220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Qui y a accès</w:t>
            </w:r>
          </w:p>
        </w:tc>
        <w:tc>
          <w:tcPr>
            <w:tcW w:type="dxa" w:w="180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Statut</w:t>
            </w:r>
          </w:p>
        </w:tc>
      </w:tr>
      <w:tr>
        <w:tc>
          <w:tcPr>
            <w:tcW w:type="dxa" w:w="28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Tableau de bord</w:t>
            </w:r>
          </w:p>
        </w:tc>
        <w:tc>
          <w:tcPr>
            <w:tcW w:type="dxa" w:w="2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/prestataire</w:t>
            </w:r>
          </w:p>
        </w:tc>
        <w:tc>
          <w:tcPr>
            <w:tcW w:type="dxa" w:w="2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Tous PROVIDER</w:t>
            </w:r>
          </w:p>
        </w:tc>
        <w:tc>
          <w:tcPr>
            <w:tcW w:type="dxa" w:w="18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KPIs : patients/jour, facturé, à recevoir, encaissé + activité récente</w:t>
            </w:r>
          </w:p>
        </w:tc>
      </w:tr>
      <w:tr>
        <w:tc>
          <w:tcPr>
            <w:tcW w:type="dxa" w:w="28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Vérifier un assuré</w:t>
            </w:r>
          </w:p>
        </w:tc>
        <w:tc>
          <w:tcPr>
            <w:tcW w:type="dxa" w:w="2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/prestataire/verifier</w:t>
            </w:r>
          </w:p>
        </w:tc>
        <w:tc>
          <w:tcPr>
            <w:tcW w:type="dxa" w:w="2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provider.verify</w:t>
            </w:r>
          </w:p>
        </w:tc>
        <w:tc>
          <w:tcPr>
            <w:tcW w:type="dxa" w:w="18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QR + n° assuré + n° contrat — plafonds temps réel</w:t>
            </w:r>
          </w:p>
        </w:tc>
      </w:tr>
      <w:tr>
        <w:tc>
          <w:tcPr>
            <w:tcW w:type="dxa" w:w="28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Consultations</w:t>
            </w:r>
          </w:p>
        </w:tc>
        <w:tc>
          <w:tcPr>
            <w:tcW w:type="dxa" w:w="2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/prestataire/consultations</w:t>
            </w:r>
          </w:p>
        </w:tc>
        <w:tc>
          <w:tcPr>
            <w:tcW w:type="dxa" w:w="2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provider.prescribe</w:t>
            </w:r>
          </w:p>
        </w:tc>
        <w:tc>
          <w:tcPr>
            <w:tcW w:type="dxa" w:w="18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Liste + création</w:t>
            </w:r>
          </w:p>
        </w:tc>
      </w:tr>
      <w:tr>
        <w:tc>
          <w:tcPr>
            <w:tcW w:type="dxa" w:w="28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Ordonnances</w:t>
            </w:r>
          </w:p>
        </w:tc>
        <w:tc>
          <w:tcPr>
            <w:tcW w:type="dxa" w:w="2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/prestataire/ordonnances</w:t>
            </w:r>
          </w:p>
        </w:tc>
        <w:tc>
          <w:tcPr>
            <w:tcW w:type="dxa" w:w="2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provider.prescribe</w:t>
            </w:r>
          </w:p>
        </w:tc>
        <w:tc>
          <w:tcPr>
            <w:tcW w:type="dxa" w:w="18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Liste + scan QR + détail + renouvellement + impression</w:t>
            </w:r>
          </w:p>
        </w:tc>
      </w:tr>
      <w:tr>
        <w:tc>
          <w:tcPr>
            <w:tcW w:type="dxa" w:w="28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Délivrances</w:t>
            </w:r>
          </w:p>
        </w:tc>
        <w:tc>
          <w:tcPr>
            <w:tcW w:type="dxa" w:w="2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/prestataire/delivrances</w:t>
            </w:r>
          </w:p>
        </w:tc>
        <w:tc>
          <w:tcPr>
            <w:tcW w:type="dxa" w:w="2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provider.thirdparty</w:t>
            </w:r>
          </w:p>
        </w:tc>
        <w:tc>
          <w:tcPr>
            <w:tcW w:type="dxa" w:w="18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Scan ordonnance → délivrance + calcul TP</w:t>
            </w:r>
          </w:p>
        </w:tc>
      </w:tr>
      <w:tr>
        <w:tc>
          <w:tcPr>
            <w:tcW w:type="dxa" w:w="28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Nouvelle prise en charge</w:t>
            </w:r>
          </w:p>
        </w:tc>
        <w:tc>
          <w:tcPr>
            <w:tcW w:type="dxa" w:w="2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/prestataire/nouvelle</w:t>
            </w:r>
          </w:p>
        </w:tc>
        <w:tc>
          <w:tcPr>
            <w:tcW w:type="dxa" w:w="2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provider.thirdparty</w:t>
            </w:r>
          </w:p>
        </w:tc>
        <w:tc>
          <w:tcPr>
            <w:tcW w:type="dxa" w:w="18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Circuit direct (consultation)</w:t>
            </w:r>
          </w:p>
        </w:tc>
      </w:tr>
      <w:tr>
        <w:tc>
          <w:tcPr>
            <w:tcW w:type="dxa" w:w="28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Prises en charge</w:t>
            </w:r>
          </w:p>
        </w:tc>
        <w:tc>
          <w:tcPr>
            <w:tcW w:type="dxa" w:w="2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/prestataire/prises</w:t>
            </w:r>
          </w:p>
        </w:tc>
        <w:tc>
          <w:tcPr>
            <w:tcW w:type="dxa" w:w="2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provider.thirdparty</w:t>
            </w:r>
          </w:p>
        </w:tc>
        <w:tc>
          <w:tcPr>
            <w:tcW w:type="dxa" w:w="18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Historique THIRDPARTY avec facturation</w:t>
            </w:r>
          </w:p>
        </w:tc>
      </w:tr>
      <w:tr>
        <w:tc>
          <w:tcPr>
            <w:tcW w:type="dxa" w:w="28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Paiements</w:t>
            </w:r>
          </w:p>
        </w:tc>
        <w:tc>
          <w:tcPr>
            <w:tcW w:type="dxa" w:w="2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/prestataire/paiements</w:t>
            </w:r>
          </w:p>
        </w:tc>
        <w:tc>
          <w:tcPr>
            <w:tcW w:type="dxa" w:w="2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provider.thirdparty</w:t>
            </w:r>
          </w:p>
        </w:tc>
        <w:tc>
          <w:tcPr>
            <w:tcW w:type="dxa" w:w="18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À recevoir / encaissé / à facturer</w:t>
            </w:r>
          </w:p>
        </w:tc>
      </w:tr>
      <w:tr>
        <w:tc>
          <w:tcPr>
            <w:tcW w:type="dxa" w:w="28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Mon établissement</w:t>
            </w:r>
          </w:p>
        </w:tc>
        <w:tc>
          <w:tcPr>
            <w:tcW w:type="dxa" w:w="2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/prestataire/etablissement</w:t>
            </w:r>
          </w:p>
        </w:tc>
        <w:tc>
          <w:tcPr>
            <w:tcW w:type="dxa" w:w="2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provider.staff (admin)</w:t>
            </w:r>
          </w:p>
        </w:tc>
        <w:tc>
          <w:tcPr>
            <w:tcW w:type="dxa" w:w="18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Édition limitée (horaires, téléphone)</w:t>
            </w:r>
          </w:p>
        </w:tc>
      </w:tr>
      <w:tr>
        <w:tc>
          <w:tcPr>
            <w:tcW w:type="dxa" w:w="28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Personnel</w:t>
            </w:r>
          </w:p>
        </w:tc>
        <w:tc>
          <w:tcPr>
            <w:tcW w:type="dxa" w:w="2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/prestataire/personnel</w:t>
            </w:r>
          </w:p>
        </w:tc>
        <w:tc>
          <w:tcPr>
            <w:tcW w:type="dxa" w:w="2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provider.staff</w:t>
            </w:r>
          </w:p>
        </w:tc>
        <w:tc>
          <w:tcPr>
            <w:tcW w:type="dxa" w:w="18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Multi-comptes par établissement</w:t>
            </w:r>
          </w:p>
        </w:tc>
      </w:tr>
      <w:tr>
        <w:tc>
          <w:tcPr>
            <w:tcW w:type="dxa" w:w="28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Dossiers de soins</w:t>
            </w:r>
          </w:p>
        </w:tc>
        <w:tc>
          <w:tcPr>
            <w:tcW w:type="dxa" w:w="2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/prestataire/dossiers</w:t>
            </w:r>
          </w:p>
        </w:tc>
        <w:tc>
          <w:tcPr>
            <w:tcW w:type="dxa" w:w="2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provider.thirdparty</w:t>
            </w:r>
          </w:p>
        </w:tc>
        <w:tc>
          <w:tcPr>
            <w:tcW w:type="dxa" w:w="18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Agrège consultation→prescription→délivrance→facture</w:t>
            </w:r>
          </w:p>
        </w:tc>
      </w:tr>
    </w:tbl>
    <w:p>
      <w:pPr>
        <w:pStyle w:val="Heading1"/>
        <w:pBdr>
          <w:bottom w:val="single" w:color="0F766E" w:sz="2" w:space="4"/>
        </w:pBdr>
        <w:spacing w:after="120" w:before="360"/>
      </w:pPr>
      <w:r>
        <w:rPr>
          <w:rFonts w:ascii="Cambria" w:cs="Cambria" w:eastAsia="Cambria" w:hAnsi="Cambria"/>
          <w:b/>
          <w:bCs/>
          <w:color w:val="134E4A"/>
          <w:sz w:val="28"/>
          <w:szCs w:val="28"/>
        </w:rPr>
        <w:t xml:space="preserve">9  —  Espace Entreprise  (/entreprise)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8"/>
          <w:szCs w:val="18"/>
        </w:rPr>
        <w:t xml:space="preserve">Aucun accès médical détaillé — uniquement agrégats et administratif.</w:t>
      </w:r>
    </w:p>
    <w:tbl>
      <w:tblPr>
        <w:tblW w:type="dxa" w:w="90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2520"/>
        <w:gridCol w:w="3240"/>
        <w:gridCol w:w="3240"/>
      </w:tblGrid>
      <w:tr>
        <w:tc>
          <w:tcPr>
            <w:tcW w:type="dxa" w:w="252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Page</w:t>
            </w:r>
          </w:p>
        </w:tc>
        <w:tc>
          <w:tcPr>
            <w:tcW w:type="dxa" w:w="324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Options</w:t>
            </w:r>
          </w:p>
        </w:tc>
        <w:tc>
          <w:tcPr>
            <w:tcW w:type="dxa" w:w="324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Contrôles</w:t>
            </w:r>
          </w:p>
        </w:tc>
      </w:tr>
      <w:tr>
        <w:tc>
          <w:tcPr>
            <w:tcW w:type="dxa" w:w="252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Tableau de bord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Salariés couverts, contrats, échéances, sinistralité agrégée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52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Salariés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Ajout manuel + import CSV (rapport ligne par ligne, doublons)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Détection email/téléphone/identité</w:t>
            </w:r>
          </w:p>
        </w:tc>
      </w:tr>
      <w:tr>
        <w:tc>
          <w:tcPr>
            <w:tcW w:type="dxa" w:w="252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Contrat collectif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Souscription produit COMPANY + échéancier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Un seul contrat GROUP actif à la fois</w:t>
            </w:r>
          </w:p>
        </w:tc>
      </w:tr>
      <w:tr>
        <w:tc>
          <w:tcPr>
            <w:tcW w:type="dxa" w:w="252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Dossiers de soins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Masqués — seul le gestionnaire assurance voit le médical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assertVisible lève « Accès restreint »</w:t>
            </w:r>
          </w:p>
        </w:tc>
      </w:tr>
    </w:tbl>
    <w:p>
      <w:pPr>
        <w:pStyle w:val="Heading1"/>
        <w:pBdr>
          <w:bottom w:val="single" w:color="0F766E" w:sz="2" w:space="4"/>
        </w:pBdr>
        <w:spacing w:after="120" w:before="360"/>
      </w:pPr>
      <w:r>
        <w:rPr>
          <w:rFonts w:ascii="Cambria" w:cs="Cambria" w:eastAsia="Cambria" w:hAnsi="Cambria"/>
          <w:b/>
          <w:bCs/>
          <w:color w:val="134E4A"/>
          <w:sz w:val="28"/>
          <w:szCs w:val="28"/>
        </w:rPr>
        <w:t xml:space="preserve">10  —  Espace Assureur / Gestionnaire &amp; Admin  (/admin)</w:t>
      </w:r>
    </w:p>
    <w:p>
      <w:pPr>
        <w:pStyle w:val="Heading2"/>
        <w:spacing w:after="80" w:before="260"/>
      </w:pPr>
      <w:r>
        <w:rPr>
          <w:rFonts w:ascii="Cambria" w:cs="Cambria" w:eastAsia="Cambria" w:hAnsi="Cambria"/>
          <w:b/>
          <w:bCs/>
          <w:color w:val="1E293B"/>
          <w:sz w:val="24"/>
          <w:szCs w:val="24"/>
        </w:rPr>
        <w:t xml:space="preserve">Dashboard &amp; pilotage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18"/>
          <w:szCs w:val="18"/>
        </w:rPr>
        <w:t xml:space="preserve">Portefeuille (assurés, entreprises, contrats), production (cotisations, produits), prestations (consultations, délivrances), financier (engagé / pris en charge / payé), qualité (taux de rejet, anomalies).</w:t>
      </w:r>
    </w:p>
    <w:p>
      <w:pPr>
        <w:pStyle w:val="Heading2"/>
        <w:spacing w:after="80" w:before="260"/>
      </w:pPr>
      <w:r>
        <w:rPr>
          <w:rFonts w:ascii="Cambria" w:cs="Cambria" w:eastAsia="Cambria" w:hAnsi="Cambria"/>
          <w:b/>
          <w:bCs/>
          <w:color w:val="1E293B"/>
          <w:sz w:val="24"/>
          <w:szCs w:val="24"/>
        </w:rPr>
        <w:t xml:space="preserve">Autorisations préalables</w:t>
      </w:r>
    </w:p>
    <w:tbl>
      <w:tblPr>
        <w:tblW w:type="dxa" w:w="90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2520"/>
        <w:gridCol w:w="3240"/>
        <w:gridCol w:w="3240"/>
      </w:tblGrid>
      <w:tr>
        <w:tc>
          <w:tcPr>
            <w:tcW w:type="dxa" w:w="252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File</w:t>
            </w:r>
          </w:p>
        </w:tc>
        <w:tc>
          <w:tcPr>
            <w:tcW w:type="dxa" w:w="324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Action gestionnaire</w:t>
            </w:r>
          </w:p>
        </w:tc>
        <w:tc>
          <w:tcPr>
            <w:tcW w:type="dxa" w:w="324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Effet</w:t>
            </w:r>
          </w:p>
        </w:tc>
      </w:tr>
      <w:tr>
        <w:tc>
          <w:tcPr>
            <w:tcW w:type="dxa" w:w="252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En attente (AUTH_REQUIRED, tiers payant)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Autoriser (→ AUTHORIZED, notif prestataire) / Demander infos / Refuser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Le prestataire peut confirmer</w:t>
            </w:r>
          </w:p>
        </w:tc>
      </w:tr>
      <w:tr>
        <w:tc>
          <w:tcPr>
            <w:tcW w:type="dxa" w:w="252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Délivrance (même file via delivery)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idem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Le pharmacien voit « Autorisée » puis confirme</w:t>
            </w:r>
          </w:p>
        </w:tc>
      </w:tr>
    </w:tbl>
    <w:p>
      <w:pPr>
        <w:pStyle w:val="Heading2"/>
        <w:spacing w:after="80" w:before="260"/>
      </w:pPr>
      <w:r>
        <w:rPr>
          <w:rFonts w:ascii="Cambria" w:cs="Cambria" w:eastAsia="Cambria" w:hAnsi="Cambria"/>
          <w:b/>
          <w:bCs/>
          <w:color w:val="1E293B"/>
          <w:sz w:val="24"/>
          <w:szCs w:val="24"/>
        </w:rPr>
        <w:t xml:space="preserve">Contrôle factures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18"/>
          <w:szCs w:val="18"/>
        </w:rPr>
        <w:t xml:space="preserve">Le gestionnaire compare facture vs contrat/garantie/prescription/autorisation/plafonds. Alertes : « Facture 150 k mais autorisation 100 k » · « Acte sans prescription » · « Quantité dépassée ».</w:t>
      </w:r>
    </w:p>
    <w:p>
      <w:pPr>
        <w:pStyle w:val="Heading2"/>
        <w:spacing w:after="80" w:before="260"/>
      </w:pPr>
      <w:r>
        <w:rPr>
          <w:rFonts w:ascii="Cambria" w:cs="Cambria" w:eastAsia="Cambria" w:hAnsi="Cambria"/>
          <w:b/>
          <w:bCs/>
          <w:color w:val="1E293B"/>
          <w:sz w:val="24"/>
          <w:szCs w:val="24"/>
        </w:rPr>
        <w:t xml:space="preserve">Produits &amp; conventions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18"/>
          <w:szCs w:val="18"/>
        </w:rPr>
        <w:t xml:space="preserve">Chaque produit définit : garanties (taux, plafonds, franchises), règles bénéficiaires, carence, tarifs. Chaque Act/Medication a ses drapeaux requiresPrescription / requiresPriorAuth configurables par l’admin.</w:t>
      </w:r>
    </w:p>
    <w:p>
      <w:pPr>
        <w:pStyle w:val="Heading1"/>
        <w:pBdr>
          <w:bottom w:val="single" w:color="0F766E" w:sz="2" w:space="4"/>
        </w:pBdr>
        <w:spacing w:after="120" w:before="360"/>
      </w:pPr>
      <w:r>
        <w:rPr>
          <w:rFonts w:ascii="Cambria" w:cs="Cambria" w:eastAsia="Cambria" w:hAnsi="Cambria"/>
          <w:b/>
          <w:bCs/>
          <w:color w:val="134E4A"/>
          <w:sz w:val="28"/>
          <w:szCs w:val="28"/>
        </w:rPr>
        <w:t xml:space="preserve">11  —  Dossier de soins — objet fédérateur (CareRecord)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18"/>
          <w:szCs w:val="18"/>
        </w:rPr>
        <w:t xml:space="preserve">Référence DOS-YYYY-… qui chaînone : CareRecord → Consultation → Prescription (→ lignes) → Delivery (→ lignes) → Claim (THIRDPARTY, prise en charge). Chaque création ajoute un CareRecordEvent (CONSULTATION_CREATED → PRESCRIPTION_CREATED → DELIVERY_CREATED → CLAIM_AUTHORIZED…).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Timeline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18"/>
          <w:szCs w:val="18"/>
        </w:rPr>
        <w:t xml:space="preserve">Accessible via GET /care-records/:id/timeline, filtrée par rôle (l’entreprise ne voit que les métadonnées non médicales). L’assuré y retrouve toute son histoire : consultation Dr X (motif, diagnostic) → ordonnance ORD-… (QR, validité) → délivrance DEL-… (produits, substitution) → montants (couvert / reste à charge) → facture.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Vérification d’identité : après scan QR, le prestataire voit la photo 120 px de l’assuré/ayant droit et doit valider “photo conforme” avant de saisir les actes — traçé dans CareRecordEvent PHOTO_VERIFIED.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Règles de visibilité (§28)</w:t>
      </w:r>
    </w:p>
    <w:tbl>
      <w:tblPr>
        <w:tblW w:type="dxa" w:w="90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2520"/>
        <w:gridCol w:w="3240"/>
        <w:gridCol w:w="3240"/>
      </w:tblGrid>
      <w:tr>
        <w:tc>
          <w:tcPr>
            <w:tcW w:type="dxa" w:w="252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Acteur</w:t>
            </w:r>
          </w:p>
        </w:tc>
        <w:tc>
          <w:tcPr>
            <w:tcW w:type="dxa" w:w="324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Voit dans le dossier</w:t>
            </w:r>
          </w:p>
        </w:tc>
        <w:tc>
          <w:tcPr>
            <w:tcW w:type="dxa" w:w="324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Ne voit PAS</w:t>
            </w:r>
          </w:p>
        </w:tc>
      </w:tr>
      <w:tr>
        <w:tc>
          <w:tcPr>
            <w:tcW w:type="dxa" w:w="252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Assuré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Tout son dossier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Les dossiers d’autres patients</w:t>
            </w:r>
          </w:p>
        </w:tc>
      </w:tr>
      <w:tr>
        <w:tc>
          <w:tcPr>
            <w:tcW w:type="dxa" w:w="252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Médecin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Ses consultations + ses prescriptions + suivi délivrance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Dossiers d’autres établissements</w:t>
            </w:r>
          </w:p>
        </w:tc>
      </w:tr>
      <w:tr>
        <w:tc>
          <w:tcPr>
            <w:tcW w:type="dxa" w:w="252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Pharmacie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Ordonnance + lignes restantes + garanties/pharmacie nécessaires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Diagnostic complet, autres prescriptions</w:t>
            </w:r>
          </w:p>
        </w:tc>
      </w:tr>
      <w:tr>
        <w:tc>
          <w:tcPr>
            <w:tcW w:type="dxa" w:w="252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Assureur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Touts les dossiers (gestion)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— (ne modifie pas le médical)</w:t>
            </w:r>
          </w:p>
        </w:tc>
      </w:tr>
      <w:tr>
        <w:tc>
          <w:tcPr>
            <w:tcW w:type="dxa" w:w="252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Entreprise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Agrégat sinistralité uniquement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Aucun détail médical individuel</w:t>
            </w:r>
          </w:p>
        </w:tc>
      </w:tr>
    </w:tbl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Sécurité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18"/>
          <w:szCs w:val="18"/>
        </w:rPr>
        <w:t xml:space="preserve">RBAC granulaire (12 clés, ex. provider.prescribe), chiffrement nationalIdEnc (AES-256-GCM), QR = jeton opaque, cloisonnement par établissement (user.providerId), audit complet (AuditLog + CareRecordEvent).</w:t>
      </w:r>
    </w:p>
    <w:p>
      <w:pPr>
        <w:pStyle w:val="Heading1"/>
        <w:pBdr>
          <w:bottom w:val="single" w:color="0F766E" w:sz="2" w:space="4"/>
        </w:pBdr>
        <w:spacing w:after="120" w:before="360"/>
      </w:pPr>
      <w:r>
        <w:rPr>
          <w:rFonts w:ascii="Cambria" w:cs="Cambria" w:eastAsia="Cambria" w:hAnsi="Cambria"/>
          <w:b/>
          <w:bCs/>
          <w:color w:val="134E4A"/>
          <w:sz w:val="28"/>
          <w:szCs w:val="28"/>
        </w:rPr>
        <w:t xml:space="preserve">12  —  Comptabilité technique OHADA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18"/>
          <w:szCs w:val="18"/>
        </w:rPr>
        <w:t xml:space="preserve">Chaque prime encaissée et chaque sinistre payé génère une écriture en partie double, exportable FEC/CSV Sage.</w:t>
      </w:r>
    </w:p>
    <w:tbl>
      <w:tblPr>
        <w:tblW w:type="dxa" w:w="90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800"/>
        <w:gridCol w:w="2800"/>
        <w:gridCol w:w="1500"/>
        <w:gridCol w:w="2900"/>
      </w:tblGrid>
      <w:tr>
        <w:tc>
          <w:tcPr>
            <w:tcW w:type="dxa" w:w="180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Compte OHADA</w:t>
            </w:r>
          </w:p>
        </w:tc>
        <w:tc>
          <w:tcPr>
            <w:tcW w:type="dxa" w:w="280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Libellé</w:t>
            </w:r>
          </w:p>
        </w:tc>
        <w:tc>
          <w:tcPr>
            <w:tcW w:type="dxa" w:w="150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Journal</w:t>
            </w:r>
          </w:p>
        </w:tc>
        <w:tc>
          <w:tcPr>
            <w:tcW w:type="dxa" w:w="290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Quand</w:t>
            </w:r>
          </w:p>
        </w:tc>
      </w:tr>
      <w:tr>
        <w:tc>
          <w:tcPr>
            <w:tcW w:type="dxa" w:w="18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702100</w:t>
            </w:r>
          </w:p>
        </w:tc>
        <w:tc>
          <w:tcPr>
            <w:tcW w:type="dxa" w:w="28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Primes émises — Santé</w:t>
            </w:r>
          </w:p>
        </w:tc>
        <w:tc>
          <w:tcPr>
            <w:tcW w:type="dxa" w:w="15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BQ Banque</w:t>
            </w:r>
          </w:p>
        </w:tc>
        <w:tc>
          <w:tcPr>
            <w:tcW w:type="dxa" w:w="29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Paiement SUCCEEDED (prime)</w:t>
            </w:r>
          </w:p>
        </w:tc>
      </w:tr>
      <w:tr>
        <w:tc>
          <w:tcPr>
            <w:tcW w:type="dxa" w:w="18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706100</w:t>
            </w:r>
          </w:p>
        </w:tc>
        <w:tc>
          <w:tcPr>
            <w:tcW w:type="dxa" w:w="28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Frais d’adhésion</w:t>
            </w:r>
          </w:p>
        </w:tc>
        <w:tc>
          <w:tcPr>
            <w:tcW w:type="dxa" w:w="15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BQ Banque</w:t>
            </w:r>
          </w:p>
        </w:tc>
        <w:tc>
          <w:tcPr>
            <w:tcW w:type="dxa" w:w="29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Paiement SUCCEEDED (adhésion 3 000/pers.)</w:t>
            </w:r>
          </w:p>
        </w:tc>
      </w:tr>
      <w:tr>
        <w:tc>
          <w:tcPr>
            <w:tcW w:type="dxa" w:w="18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603100</w:t>
            </w:r>
          </w:p>
        </w:tc>
        <w:tc>
          <w:tcPr>
            <w:tcW w:type="dxa" w:w="28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Sinistres payés</w:t>
            </w:r>
          </w:p>
        </w:tc>
        <w:tc>
          <w:tcPr>
            <w:tcW w:type="dxa" w:w="15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OD Op. diverses</w:t>
            </w:r>
          </w:p>
        </w:tc>
        <w:tc>
          <w:tcPr>
            <w:tcW w:type="dxa" w:w="29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Claim mark-paid (APPROVED→PAID)</w:t>
            </w:r>
          </w:p>
        </w:tc>
      </w:tr>
      <w:tr>
        <w:tc>
          <w:tcPr>
            <w:tcW w:type="dxa" w:w="18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395000</w:t>
            </w:r>
          </w:p>
        </w:tc>
        <w:tc>
          <w:tcPr>
            <w:tcW w:type="dxa" w:w="28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Provisions sinistres à payer</w:t>
            </w:r>
          </w:p>
        </w:tc>
        <w:tc>
          <w:tcPr>
            <w:tcW w:type="dxa" w:w="15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OD</w:t>
            </w:r>
          </w:p>
        </w:tc>
        <w:tc>
          <w:tcPr>
            <w:tcW w:type="dxa" w:w="29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Provision auto (à venir)</w:t>
            </w:r>
          </w:p>
        </w:tc>
      </w:tr>
      <w:tr>
        <w:tc>
          <w:tcPr>
            <w:tcW w:type="dxa" w:w="18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512000</w:t>
            </w:r>
          </w:p>
        </w:tc>
        <w:tc>
          <w:tcPr>
            <w:tcW w:type="dxa" w:w="28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Banque</w:t>
            </w:r>
          </w:p>
        </w:tc>
        <w:tc>
          <w:tcPr>
            <w:tcW w:type="dxa" w:w="15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BQ</w:t>
            </w:r>
          </w:p>
        </w:tc>
        <w:tc>
          <w:tcPr>
            <w:tcW w:type="dxa" w:w="29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Contrepartie primes/sinistres</w:t>
            </w:r>
          </w:p>
        </w:tc>
      </w:tr>
      <w:tr>
        <w:tc>
          <w:tcPr>
            <w:tcW w:type="dxa" w:w="18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411100</w:t>
            </w:r>
          </w:p>
        </w:tc>
        <w:tc>
          <w:tcPr>
            <w:tcW w:type="dxa" w:w="28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Assurés — créances</w:t>
            </w:r>
          </w:p>
        </w:tc>
        <w:tc>
          <w:tcPr>
            <w:tcW w:type="dxa" w:w="15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OD</w:t>
            </w:r>
          </w:p>
        </w:tc>
        <w:tc>
          <w:tcPr>
            <w:tcW w:type="dxa" w:w="29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Échéances impayées</w:t>
            </w:r>
          </w:p>
        </w:tc>
      </w:tr>
      <w:tr>
        <w:tc>
          <w:tcPr>
            <w:tcW w:type="dxa" w:w="18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401100</w:t>
            </w:r>
          </w:p>
        </w:tc>
        <w:tc>
          <w:tcPr>
            <w:tcW w:type="dxa" w:w="28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Prestataires — dettes</w:t>
            </w:r>
          </w:p>
        </w:tc>
        <w:tc>
          <w:tcPr>
            <w:tcW w:type="dxa" w:w="15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OD</w:t>
            </w:r>
          </w:p>
        </w:tc>
        <w:tc>
          <w:tcPr>
            <w:tcW w:type="dxa" w:w="29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Sinistres à régler</w:t>
            </w:r>
          </w:p>
        </w:tc>
      </w:tr>
    </w:tbl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18"/>
          <w:szCs w:val="18"/>
        </w:rPr>
        <w:t xml:space="preserve">Écritures : BQ 512 Débit / 702 Crédit (prime) ; BQ 512 Débit / 706 Crédit (adhésion) ; OD 603 Débit / 401 Crédit (sinistre). Période = YYYY-MM.</w:t>
      </w:r>
    </w:p>
    <w:tbl>
      <w:tblPr>
        <w:tblW w:type="dxa" w:w="90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2200"/>
        <w:gridCol w:w="2800"/>
        <w:gridCol w:w="2800"/>
        <w:gridCol w:w="2200"/>
      </w:tblGrid>
      <w:tr>
        <w:tc>
          <w:tcPr>
            <w:tcW w:type="dxa" w:w="220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Écran</w:t>
            </w:r>
          </w:p>
        </w:tc>
        <w:tc>
          <w:tcPr>
            <w:tcW w:type="dxa" w:w="280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Route</w:t>
            </w:r>
          </w:p>
        </w:tc>
        <w:tc>
          <w:tcPr>
            <w:tcW w:type="dxa" w:w="280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Filtres</w:t>
            </w:r>
          </w:p>
        </w:tc>
        <w:tc>
          <w:tcPr>
            <w:tcW w:type="dxa" w:w="220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Export</w:t>
            </w:r>
          </w:p>
        </w:tc>
      </w:tr>
      <w:tr>
        <w:tc>
          <w:tcPr>
            <w:tcW w:type="dxa" w:w="22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Journal</w:t>
            </w:r>
          </w:p>
        </w:tc>
        <w:tc>
          <w:tcPr>
            <w:tcW w:type="dxa" w:w="28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/admin/accounting/entries</w:t>
            </w:r>
          </w:p>
        </w:tc>
        <w:tc>
          <w:tcPr>
            <w:tcW w:type="dxa" w:w="28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from/to, journal BQ/OD, compte, période, page</w:t>
            </w:r>
          </w:p>
        </w:tc>
        <w:tc>
          <w:tcPr>
            <w:tcW w:type="dxa" w:w="2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CSV FEC</w:t>
            </w:r>
          </w:p>
        </w:tc>
      </w:tr>
      <w:tr>
        <w:tc>
          <w:tcPr>
            <w:tcW w:type="dxa" w:w="22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Grand livre</w:t>
            </w:r>
          </w:p>
        </w:tc>
        <w:tc>
          <w:tcPr>
            <w:tcW w:type="dxa" w:w="28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/admin/accounting/summary</w:t>
            </w:r>
          </w:p>
        </w:tc>
        <w:tc>
          <w:tcPr>
            <w:tcW w:type="dxa" w:w="28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from/to → solde débit-crédit par compte</w:t>
            </w:r>
          </w:p>
        </w:tc>
        <w:tc>
          <w:tcPr>
            <w:tcW w:type="dxa" w:w="2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CSV</w:t>
            </w:r>
          </w:p>
        </w:tc>
      </w:tr>
      <w:tr>
        <w:tc>
          <w:tcPr>
            <w:tcW w:type="dxa" w:w="22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Plan comptable</w:t>
            </w:r>
          </w:p>
        </w:tc>
        <w:tc>
          <w:tcPr>
            <w:tcW w:type="dxa" w:w="28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/admin/accounting/chart</w:t>
            </w:r>
          </w:p>
        </w:tc>
        <w:tc>
          <w:tcPr>
            <w:tcW w:type="dxa" w:w="28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—</w:t>
            </w:r>
          </w:p>
        </w:tc>
      </w:tr>
    </w:tbl>
    <w:p>
      <w:pPr>
        <w:shd w:fill="F0FDFA" w:color="auto" w:val="clear"/>
        <w:spacing w:after="80" w:before="80"/>
        <w:ind w:left="200"/>
      </w:pPr>
      <w:r>
        <w:rPr>
          <w:rFonts w:ascii="Calibri" w:cs="Calibri" w:eastAsia="Calibri" w:hAnsi="Calibri"/>
          <w:i/>
          <w:iCs/>
          <w:color w:val="64748B"/>
          <w:sz w:val="17"/>
          <w:szCs w:val="17"/>
        </w:rPr>
        <w:t xml:space="preserve">▸ Génération auto : recordPremium() sur Payment SUCCEEDED, recordSinistre() sur Claim PAID. Compta non bloquante (try/catch).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Export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18"/>
          <w:szCs w:val="18"/>
        </w:rPr>
        <w:t xml:space="preserve">GET /admin/accounting/export?from=2026-01-01&amp;to=2026-12-31&amp;format=csv → header date,journal,account,code,label,debit,credit,reference,period. FEC JSON si format=fec.</w:t>
      </w:r>
    </w:p>
    <w:p>
      <w:pPr>
        <w:pStyle w:val="Heading1"/>
        <w:pBdr>
          <w:bottom w:val="single" w:color="0F766E" w:sz="2" w:space="4"/>
        </w:pBdr>
        <w:spacing w:after="120" w:before="360"/>
      </w:pPr>
      <w:r>
        <w:rPr>
          <w:rFonts w:ascii="Cambria" w:cs="Cambria" w:eastAsia="Cambria" w:hAnsi="Cambria"/>
          <w:b/>
          <w:bCs/>
          <w:color w:val="134E4A"/>
          <w:sz w:val="28"/>
          <w:szCs w:val="28"/>
        </w:rPr>
        <w:t xml:space="preserve">13  —  Référentiels : Branches, Maladies (CIM-10), Panier de soins</w:t>
      </w:r>
    </w:p>
    <w:tbl>
      <w:tblPr>
        <w:tblW w:type="dxa" w:w="90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2000"/>
        <w:gridCol w:w="2400"/>
        <w:gridCol w:w="2800"/>
        <w:gridCol w:w="1800"/>
      </w:tblGrid>
      <w:tr>
        <w:tc>
          <w:tcPr>
            <w:tcW w:type="dxa" w:w="200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Référentiel</w:t>
            </w:r>
          </w:p>
        </w:tc>
        <w:tc>
          <w:tcPr>
            <w:tcW w:type="dxa" w:w="240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Modèle</w:t>
            </w:r>
          </w:p>
        </w:tc>
        <w:tc>
          <w:tcPr>
            <w:tcW w:type="dxa" w:w="280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Seed</w:t>
            </w:r>
          </w:p>
        </w:tc>
        <w:tc>
          <w:tcPr>
            <w:tcW w:type="dxa" w:w="180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Usage</w:t>
            </w:r>
          </w:p>
        </w:tc>
      </w:tr>
      <w:tr>
        <w:tc>
          <w:tcPr>
            <w:tcW w:type="dxa" w:w="20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Branche</w:t>
            </w:r>
          </w:p>
        </w:tc>
        <w:tc>
          <w:tcPr>
            <w:tcW w:type="dxa" w:w="24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Branch code MAL/PREV/MAT</w:t>
            </w:r>
          </w:p>
        </w:tc>
        <w:tc>
          <w:tcPr>
            <w:tcW w:type="dxa" w:w="28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MAL Maladie, PREV Prévoyance, MAT Maternité</w:t>
            </w:r>
          </w:p>
        </w:tc>
        <w:tc>
          <w:tcPr>
            <w:tcW w:type="dxa" w:w="18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Product.branchId → filtre offres</w:t>
            </w:r>
          </w:p>
        </w:tc>
      </w:tr>
      <w:tr>
        <w:tc>
          <w:tcPr>
            <w:tcW w:type="dxa" w:w="20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Maladie</w:t>
            </w:r>
          </w:p>
        </w:tc>
        <w:tc>
          <w:tcPr>
            <w:tcW w:type="dxa" w:w="24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Disease code CIM-10 B54…N39</w:t>
            </w:r>
          </w:p>
        </w:tc>
        <w:tc>
          <w:tcPr>
            <w:tcW w:type="dxa" w:w="28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10 maladies (paludisme, HTA, diabète…)</w:t>
            </w:r>
          </w:p>
        </w:tc>
        <w:tc>
          <w:tcPr>
            <w:tcW w:type="dxa" w:w="18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Claim.diseaseId, /diseases?q=palud</w:t>
            </w:r>
          </w:p>
        </w:tc>
      </w:tr>
      <w:tr>
        <w:tc>
          <w:tcPr>
            <w:tcW w:type="dxa" w:w="20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Acte / Panier</w:t>
            </w:r>
          </w:p>
        </w:tc>
        <w:tc>
          <w:tcPr>
            <w:tcW w:type="dxa" w:w="24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Act code CONS-001… + branchId</w:t>
            </w:r>
          </w:p>
        </w:tc>
        <w:tc>
          <w:tcPr>
            <w:tcW w:type="dxa" w:w="28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14 actes + Medication 8</w:t>
            </w:r>
          </w:p>
        </w:tc>
        <w:tc>
          <w:tcPr>
            <w:tcW w:type="dxa" w:w="18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AdminActs filtre par branche, requiresPrescription/PriorAuth</w:t>
            </w:r>
          </w:p>
        </w:tc>
      </w:tr>
    </w:tbl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18"/>
          <w:szCs w:val="18"/>
        </w:rPr>
        <w:t xml:space="preserve">Routes : GET /branches (public), POST /admin/branches (referential.manage) ; GET /diseases?q=&amp;category=&amp;page=, POST /admin/diseases. Act.branchId lie le panier à la branche.</w:t>
      </w:r>
    </w:p>
    <w:p>
      <w:pPr>
        <w:shd w:fill="F0FDFA" w:color="auto" w:val="clear"/>
        <w:spacing w:after="80" w:before="80"/>
        <w:ind w:left="200"/>
      </w:pPr>
      <w:r>
        <w:rPr>
          <w:rFonts w:ascii="Calibri" w:cs="Calibri" w:eastAsia="Calibri" w:hAnsi="Calibri"/>
          <w:i/>
          <w:iCs/>
          <w:color w:val="64748B"/>
          <w:sz w:val="17"/>
          <w:szCs w:val="17"/>
        </w:rPr>
        <w:t xml:space="preserve">▸ Seed OHADA : 3 branches, 10 maladies, 14 actes, plan 7 comptes. Extensible sans code via /admin.</w:t>
      </w:r>
    </w:p>
    <w:p>
      <w:pPr>
        <w:pStyle w:val="Heading1"/>
        <w:pBdr>
          <w:bottom w:val="single" w:color="0F766E" w:sz="2" w:space="4"/>
        </w:pBdr>
        <w:spacing w:after="120" w:before="360"/>
      </w:pPr>
      <w:r>
        <w:rPr>
          <w:rFonts w:ascii="Cambria" w:cs="Cambria" w:eastAsia="Cambria" w:hAnsi="Cambria"/>
          <w:b/>
          <w:bCs/>
          <w:color w:val="134E4A"/>
          <w:sz w:val="28"/>
          <w:szCs w:val="28"/>
        </w:rPr>
        <w:t xml:space="preserve">14  —  Hospitalisation — Entente préalable &amp; GED / RGPD / PWA</w:t>
      </w:r>
    </w:p>
    <w:p>
      <w:pPr>
        <w:pStyle w:val="Heading2"/>
        <w:spacing w:after="80" w:before="260"/>
      </w:pPr>
      <w:r>
        <w:rPr>
          <w:rFonts w:ascii="Cambria" w:cs="Cambria" w:eastAsia="Cambria" w:hAnsi="Cambria"/>
          <w:b/>
          <w:bCs/>
          <w:color w:val="1E293B"/>
          <w:sz w:val="24"/>
          <w:szCs w:val="24"/>
        </w:rPr>
        <w:t xml:space="preserve">14.1  Entente hospitalière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18"/>
          <w:szCs w:val="18"/>
        </w:rPr>
        <w:t xml:space="preserve">PEC dédiée HOSPITAL (distinct du tiers payant officine) : diagnostic, CIM10, montant estimé, type MEDECINE/CHIRURGIE/MATERNITE/SOINS_INTENSIFS, jours prévus.</w:t>
      </w:r>
    </w:p>
    <w:tbl>
      <w:tblPr>
        <w:tblW w:type="dxa" w:w="90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800"/>
        <w:gridCol w:w="2600"/>
        <w:gridCol w:w="2800"/>
        <w:gridCol w:w="1800"/>
      </w:tblGrid>
      <w:tr>
        <w:tc>
          <w:tcPr>
            <w:tcW w:type="dxa" w:w="180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Étape</w:t>
            </w:r>
          </w:p>
        </w:tc>
        <w:tc>
          <w:tcPr>
            <w:tcW w:type="dxa" w:w="260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Acteur</w:t>
            </w:r>
          </w:p>
        </w:tc>
        <w:tc>
          <w:tcPr>
            <w:tcW w:type="dxa" w:w="280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Route</w:t>
            </w:r>
          </w:p>
        </w:tc>
        <w:tc>
          <w:tcPr>
            <w:tcW w:type="dxa" w:w="180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Statut</w:t>
            </w:r>
          </w:p>
        </w:tc>
      </w:tr>
      <w:tr>
        <w:tc>
          <w:tcPr>
            <w:tcW w:type="dxa" w:w="18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Demande</w:t>
            </w:r>
          </w:p>
        </w:tc>
        <w:tc>
          <w:tcPr>
            <w:tcW w:type="dxa" w:w="26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Prestataire (provider.thirdparty)</w:t>
            </w:r>
          </w:p>
        </w:tc>
        <w:tc>
          <w:tcPr>
            <w:tcW w:type="dxa" w:w="28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POST /hospital/entente</w:t>
            </w:r>
          </w:p>
        </w:tc>
        <w:tc>
          <w:tcPr>
            <w:tcW w:type="dxa" w:w="18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AUTH_REQUIRED</w:t>
            </w:r>
          </w:p>
        </w:tc>
      </w:tr>
      <w:tr>
        <w:tc>
          <w:tcPr>
            <w:tcW w:type="dxa" w:w="18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Validation</w:t>
            </w:r>
          </w:p>
        </w:tc>
        <w:tc>
          <w:tcPr>
            <w:tcW w:type="dxa" w:w="26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Gestionnaire (claims.decide)</w:t>
            </w:r>
          </w:p>
        </w:tc>
        <w:tc>
          <w:tcPr>
            <w:tcW w:type="dxa" w:w="28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POST /admin/claims/:id/authorize</w:t>
            </w:r>
          </w:p>
        </w:tc>
        <w:tc>
          <w:tcPr>
            <w:tcW w:type="dxa" w:w="18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AUTHORIZED → confirmable</w:t>
            </w:r>
          </w:p>
        </w:tc>
      </w:tr>
      <w:tr>
        <w:tc>
          <w:tcPr>
            <w:tcW w:type="dxa" w:w="18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Facturation</w:t>
            </w:r>
          </w:p>
        </w:tc>
        <w:tc>
          <w:tcPr>
            <w:tcW w:type="dxa" w:w="26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Prestataire</w:t>
            </w:r>
          </w:p>
        </w:tc>
        <w:tc>
          <w:tcPr>
            <w:tcW w:type="dxa" w:w="28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Claim mark-paid → Facture auto FAC-YYYY-ref</w:t>
            </w:r>
          </w:p>
        </w:tc>
        <w:tc>
          <w:tcPr>
            <w:tcW w:type="dxa" w:w="18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PAID + GED INVOICE</w:t>
            </w:r>
          </w:p>
        </w:tc>
      </w:tr>
    </w:tbl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18"/>
          <w:szCs w:val="18"/>
        </w:rPr>
        <w:t xml:space="preserve">Écran : /prestataire/hospitalisation — formulaire + liste ententes (filtre status, paginé).</w:t>
      </w:r>
    </w:p>
    <w:p>
      <w:pPr>
        <w:pStyle w:val="Heading2"/>
        <w:spacing w:after="80" w:before="260"/>
      </w:pPr>
      <w:r>
        <w:rPr>
          <w:rFonts w:ascii="Cambria" w:cs="Cambria" w:eastAsia="Cambria" w:hAnsi="Cambria"/>
          <w:b/>
          <w:bCs/>
          <w:color w:val="1E293B"/>
          <w:sz w:val="24"/>
          <w:szCs w:val="24"/>
        </w:rPr>
        <w:t xml:space="preserve">14.2  GED versionnée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18"/>
          <w:szCs w:val="18"/>
        </w:rPr>
        <w:t xml:space="preserve">FileObject documentType/tags/version/previousVersionId. Upload via StorageService (local/S3), sha256, 8 Mo max. Admin : GET /admin/documents?q=&amp;documentType=&amp;page= — version incrémentée si même type+owner.</w:t>
      </w:r>
    </w:p>
    <w:p>
      <w:pPr>
        <w:pStyle w:val="Heading2"/>
        <w:spacing w:after="80" w:before="260"/>
      </w:pPr>
      <w:r>
        <w:rPr>
          <w:rFonts w:ascii="Cambria" w:cs="Cambria" w:eastAsia="Cambria" w:hAnsi="Cambria"/>
          <w:b/>
          <w:bCs/>
          <w:color w:val="1E293B"/>
          <w:sz w:val="24"/>
          <w:szCs w:val="24"/>
        </w:rPr>
        <w:t xml:space="preserve">14.3  RGPD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18"/>
          <w:szCs w:val="18"/>
        </w:rPr>
        <w:t xml:space="preserve">Consentement : checkbox Register/RegisterCompany → User.consentGivenAt + consentIp. CookieBanner (localStorage cookie-consent). Rétention : SystemConfig retention.enabled true, 3650j careRecord/invoice, 1095j audit, job RetentionJob quotidien 03:00. Chiffrement AES-256-GCM nationalIdEnc, QR jeton opaque.</w:t>
      </w:r>
    </w:p>
    <w:p>
      <w:pPr>
        <w:pStyle w:val="Heading2"/>
        <w:spacing w:after="80" w:before="260"/>
      </w:pPr>
      <w:r>
        <w:rPr>
          <w:rFonts w:ascii="Cambria" w:cs="Cambria" w:eastAsia="Cambria" w:hAnsi="Cambria"/>
          <w:b/>
          <w:bCs/>
          <w:color w:val="1E293B"/>
          <w:sz w:val="24"/>
          <w:szCs w:val="24"/>
        </w:rPr>
        <w:t xml:space="preserve">14.4  PWA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18"/>
          <w:szCs w:val="18"/>
        </w:rPr>
        <w:t xml:space="preserve">VitePWA 1.3.0 : manifest SantéPlus (theme #1D6A4C, icons 192/512), workbox precache 78 entrées, NetworkFirst /api (5s), CacheFirst fonts. InstallPrompt (beforeinstallprompt + iOS hint) + offline.html. Build 68k index + 164k vendor + 383k charts (lazy).</w:t>
      </w:r>
    </w:p>
    <w:p>
      <w:pPr>
        <w:pStyle w:val="Heading1"/>
        <w:pBdr>
          <w:bottom w:val="single" w:color="0F766E" w:sz="2" w:space="4"/>
        </w:pBdr>
        <w:spacing w:after="120" w:before="360"/>
      </w:pPr>
      <w:r>
        <w:rPr>
          <w:rFonts w:ascii="Cambria" w:cs="Cambria" w:eastAsia="Cambria" w:hAnsi="Cambria"/>
          <w:b/>
          <w:bCs/>
          <w:color w:val="134E4A"/>
          <w:sz w:val="28"/>
          <w:szCs w:val="28"/>
        </w:rPr>
        <w:t xml:space="preserve">15  —  Notifications &amp; recherche</w:t>
      </w:r>
    </w:p>
    <w:tbl>
      <w:tblPr>
        <w:tblW w:type="dxa" w:w="90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2520"/>
        <w:gridCol w:w="3240"/>
        <w:gridCol w:w="3240"/>
      </w:tblGrid>
      <w:tr>
        <w:tc>
          <w:tcPr>
            <w:tcW w:type="dxa" w:w="252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Canal</w:t>
            </w:r>
          </w:p>
        </w:tc>
        <w:tc>
          <w:tcPr>
            <w:tcW w:type="dxa" w:w="324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Quand</w:t>
            </w:r>
          </w:p>
        </w:tc>
        <w:tc>
          <w:tcPr>
            <w:tcW w:type="dxa" w:w="324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Exemple</w:t>
            </w:r>
          </w:p>
        </w:tc>
      </w:tr>
      <w:tr>
        <w:tc>
          <w:tcPr>
            <w:tcW w:type="dxa" w:w="252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In-app (toujours)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Chaque événement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Ordonnance créée · Délivrance enregistrée · Autorisation accordée</w:t>
            </w:r>
          </w:p>
        </w:tc>
      </w:tr>
      <w:tr>
        <w:tc>
          <w:tcPr>
            <w:tcW w:type="dxa" w:w="252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E-mail (HTTP API)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Sujets configurables (NOTIFY_EMAIL_TOPICS)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Idem — via Brevo/SendGrid-like</w:t>
            </w:r>
          </w:p>
        </w:tc>
      </w:tr>
      <w:tr>
        <w:tc>
          <w:tcPr>
            <w:tcW w:type="dxa" w:w="252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SMS / WhatsApp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Sujets critiques (NOTIFY_SMS_TOPICS + WA_TOKEN)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Paiement confirmé · Contrat suspendu</w:t>
            </w:r>
          </w:p>
        </w:tc>
      </w:tr>
    </w:tbl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18"/>
          <w:szCs w:val="18"/>
        </w:rPr>
        <w:t xml:space="preserve">Recherche globale par assuré / n° contrat / ordonnance / prise en charge / facture — résultats filtrés par permission.</w:t>
      </w:r>
    </w:p>
    <w:p>
      <w:pPr>
        <w:pStyle w:val="Heading1"/>
        <w:pBdr>
          <w:bottom w:val="single" w:color="0F766E" w:sz="2" w:space="4"/>
        </w:pBdr>
        <w:spacing w:after="120" w:before="360"/>
      </w:pPr>
      <w:r>
        <w:rPr>
          <w:rFonts w:ascii="Cambria" w:cs="Cambria" w:eastAsia="Cambria" w:hAnsi="Cambria"/>
          <w:b/>
          <w:bCs/>
          <w:color w:val="134E4A"/>
          <w:sz w:val="28"/>
          <w:szCs w:val="28"/>
        </w:rPr>
        <w:t xml:space="preserve">16  —  Parcours complet de référence (§43) — scénario validé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8"/>
          <w:szCs w:val="18"/>
        </w:rPr>
        <w:t xml:space="preserve">Ce scénario est exécuté automatiquement à chaque seed et rejouable via l’API/Postman 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Étape 1 — 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1. Consultation — Jean consulte le Dr Kouassi (motif : fièvre, toux)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Étape 2 — 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2. Prescription — 2 médicaments + 1 analyse (validité 30 j, QR ORD-…)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Étape 3 — 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3. Pharmacie scanne le QR de l’ordonnance → vérifie patient, validité, lignes restantes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Étape 4 — 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4. Délivrance partielle — 2 médicaments délivrés, analyse laissée pour le labo (statut PARTIALLY_EXECUTED)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Étape 5 — 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5. Laboratoire délivre l’analyse restante → ordonnance EXECUTED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Étape 6 — 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6. Dossier DOS-… alimenté : 3 événements (consultation, prescription, 2 délivrances)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Étape 7 — 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7. Historique assuré : /care-records/mine + /prescriptions/mine + /consultations/mine affichent le dossier complet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Cas négatifs couverts (§44)</w:t>
      </w:r>
    </w:p>
    <w:tbl>
      <w:tblPr>
        <w:tblW w:type="dxa" w:w="90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2800"/>
        <w:gridCol w:w="2200"/>
        <w:gridCol w:w="4000"/>
      </w:tblGrid>
      <w:tr>
        <w:tc>
          <w:tcPr>
            <w:tcW w:type="dxa" w:w="280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Situation</w:t>
            </w:r>
          </w:p>
        </w:tc>
        <w:tc>
          <w:tcPr>
            <w:tcW w:type="dxa" w:w="220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Réponse système</w:t>
            </w:r>
          </w:p>
        </w:tc>
        <w:tc>
          <w:tcPr>
            <w:tcW w:type="dxa" w:w="400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Message utilisateur</w:t>
            </w:r>
          </w:p>
        </w:tc>
      </w:tr>
      <w:tr>
        <w:tc>
          <w:tcPr>
            <w:tcW w:type="dxa" w:w="28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Sans ordonnance (pharmacie)</w:t>
            </w:r>
          </w:p>
        </w:tc>
        <w:tc>
          <w:tcPr>
            <w:tcW w:type="dxa" w:w="2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400 Bad Request</w:t>
            </w:r>
          </w:p>
        </w:tc>
        <w:tc>
          <w:tcPr>
            <w:tcW w:type="dxa" w:w="40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Aucune prescription valide trouvée pour cette prestation.</w:t>
            </w:r>
          </w:p>
        </w:tc>
      </w:tr>
      <w:tr>
        <w:tc>
          <w:tcPr>
            <w:tcW w:type="dxa" w:w="28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Ordonnance expirée (validUntil &lt; now)</w:t>
            </w:r>
          </w:p>
        </w:tc>
        <w:tc>
          <w:tcPr>
            <w:tcW w:type="dxa" w:w="2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400</w:t>
            </w:r>
          </w:p>
        </w:tc>
        <w:tc>
          <w:tcPr>
            <w:tcW w:type="dxa" w:w="40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Ordonnance expirée (valide jusqu’au …)</w:t>
            </w:r>
          </w:p>
        </w:tc>
      </w:tr>
      <w:tr>
        <w:tc>
          <w:tcPr>
            <w:tcW w:type="dxa" w:w="28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Déjà entièrement exécutée</w:t>
            </w:r>
          </w:p>
        </w:tc>
        <w:tc>
          <w:tcPr>
            <w:tcW w:type="dxa" w:w="2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400</w:t>
            </w:r>
          </w:p>
        </w:tc>
        <w:tc>
          <w:tcPr>
            <w:tcW w:type="dxa" w:w="40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Cette ordonnance a déjà été entièrement exécutée.</w:t>
            </w:r>
          </w:p>
        </w:tc>
      </w:tr>
      <w:tr>
        <w:tc>
          <w:tcPr>
            <w:tcW w:type="dxa" w:w="28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Quantité &gt; reste</w:t>
            </w:r>
          </w:p>
        </w:tc>
        <w:tc>
          <w:tcPr>
            <w:tcW w:type="dxa" w:w="2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400</w:t>
            </w:r>
          </w:p>
        </w:tc>
        <w:tc>
          <w:tcPr>
            <w:tcW w:type="dxa" w:w="40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Quantité demandée (n) dépasse le reste disponible (m)</w:t>
            </w:r>
          </w:p>
        </w:tc>
      </w:tr>
      <w:tr>
        <w:tc>
          <w:tcPr>
            <w:tcW w:type="dxa" w:w="28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Pharmacie crée une ordonnance</w:t>
            </w:r>
          </w:p>
        </w:tc>
        <w:tc>
          <w:tcPr>
            <w:tcW w:type="dxa" w:w="2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403 Forbidden</w:t>
            </w:r>
          </w:p>
        </w:tc>
        <w:tc>
          <w:tcPr>
            <w:tcW w:type="dxa" w:w="40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Seul un prescripteur habilité peut créer une ordonnance</w:t>
            </w:r>
          </w:p>
        </w:tc>
      </w:tr>
      <w:tr>
        <w:tc>
          <w:tcPr>
            <w:tcW w:type="dxa" w:w="28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Contrat inactif</w:t>
            </w:r>
          </w:p>
        </w:tc>
        <w:tc>
          <w:tcPr>
            <w:tcW w:type="dxa" w:w="2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400</w:t>
            </w:r>
          </w:p>
        </w:tc>
        <w:tc>
          <w:tcPr>
            <w:tcW w:type="dxa" w:w="40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Contrat du patient inactif — délivrance impossible</w:t>
            </w:r>
          </w:p>
        </w:tc>
      </w:tr>
      <w:tr>
        <w:tc>
          <w:tcPr>
            <w:tcW w:type="dxa" w:w="28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Autorisation préalable manquante</w:t>
            </w:r>
          </w:p>
        </w:tc>
        <w:tc>
          <w:tcPr>
            <w:tcW w:type="dxa" w:w="2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Statut AUTH_REQUIRED → bloque la confirmation</w:t>
            </w:r>
          </w:p>
        </w:tc>
        <w:tc>
          <w:tcPr>
            <w:tcW w:type="dxa" w:w="40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En attente de validation du gestionnaire</w:t>
            </w:r>
          </w:p>
        </w:tc>
      </w:tr>
    </w:tbl>
    <w:p>
      <w:pPr>
        <w:pStyle w:val="Heading1"/>
        <w:pBdr>
          <w:bottom w:val="single" w:color="0F766E" w:sz="2" w:space="4"/>
        </w:pBdr>
        <w:spacing w:after="120" w:before="360"/>
      </w:pPr>
      <w:r>
        <w:rPr>
          <w:rFonts w:ascii="Cambria" w:cs="Cambria" w:eastAsia="Cambria" w:hAnsi="Cambria"/>
          <w:b/>
          <w:bCs/>
          <w:color w:val="134E4A"/>
          <w:sz w:val="28"/>
          <w:szCs w:val="28"/>
        </w:rPr>
        <w:t xml:space="preserve">17  —  Grille de validation — à compléter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8"/>
          <w:szCs w:val="18"/>
        </w:rPr>
        <w:t xml:space="preserve">Cochez, corrigez ou commentez directement dans ce document (mode Révision). Chaque ligne devient une demande de modification priorisée.</w:t>
      </w:r>
    </w:p>
    <w:tbl>
      <w:tblPr>
        <w:tblW w:type="dxa" w:w="90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800"/>
        <w:gridCol w:w="3400"/>
        <w:gridCol w:w="2000"/>
        <w:gridCol w:w="1800"/>
      </w:tblGrid>
      <w:tr>
        <w:tc>
          <w:tcPr>
            <w:tcW w:type="dxa" w:w="180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Domaine</w:t>
            </w:r>
          </w:p>
        </w:tc>
        <w:tc>
          <w:tcPr>
            <w:tcW w:type="dxa" w:w="340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Question de validation</w:t>
            </w:r>
          </w:p>
        </w:tc>
        <w:tc>
          <w:tcPr>
            <w:tcW w:type="dxa" w:w="200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Statut (OK / À corriger / À ajouter)</w:t>
            </w:r>
          </w:p>
        </w:tc>
        <w:tc>
          <w:tcPr>
            <w:tcW w:type="dxa" w:w="180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Commentaire</w:t>
            </w:r>
          </w:p>
        </w:tc>
      </w:tr>
      <w:tr>
        <w:tc>
          <w:tcPr>
            <w:tcW w:type="dxa" w:w="18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Parcours global</w:t>
            </w:r>
          </w:p>
        </w:tc>
        <w:tc>
          <w:tcPr>
            <w:tcW w:type="dxa" w:w="34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Le flux Assuré → Consultation → Ordonnance → Délivrance → Facturation est-il clair ?</w:t>
            </w:r>
          </w:p>
        </w:tc>
        <w:tc>
          <w:tcPr>
            <w:tcW w:type="dxa" w:w="20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Rôles</w:t>
            </w:r>
          </w:p>
        </w:tc>
        <w:tc>
          <w:tcPr>
            <w:tcW w:type="dxa" w:w="34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La distinction médecin / pharmacie / labo / hôpital est-elle suffisante ou faut-il des sous-rôles ?</w:t>
            </w:r>
          </w:p>
        </w:tc>
        <w:tc>
          <w:tcPr>
            <w:tcW w:type="dxa" w:w="20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Consultation</w:t>
            </w:r>
          </w:p>
        </w:tc>
        <w:tc>
          <w:tcPr>
            <w:tcW w:type="dxa" w:w="34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Champs motif/diagnostic/spécialité suffisants ?</w:t>
            </w:r>
          </w:p>
        </w:tc>
        <w:tc>
          <w:tcPr>
            <w:tcW w:type="dxa" w:w="20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Ordonnance</w:t>
            </w:r>
          </w:p>
        </w:tc>
        <w:tc>
          <w:tcPr>
            <w:tcW w:type="dxa" w:w="34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Validité 30 j, renouvellements, QR : paramètres adaptés ?</w:t>
            </w:r>
          </w:p>
        </w:tc>
        <w:tc>
          <w:tcPr>
            <w:tcW w:type="dxa" w:w="20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Délivrance partielle</w:t>
            </w:r>
          </w:p>
        </w:tc>
        <w:tc>
          <w:tcPr>
            <w:tcW w:type="dxa" w:w="34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Substitution avec note : processus conforme ?</w:t>
            </w:r>
          </w:p>
        </w:tc>
        <w:tc>
          <w:tcPr>
            <w:tcW w:type="dxa" w:w="20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Autorisation préalable</w:t>
            </w:r>
          </w:p>
        </w:tc>
        <w:tc>
          <w:tcPr>
            <w:tcW w:type="dxa" w:w="34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Seuil tiers payant 150 000 FCFA : montant correct ?</w:t>
            </w:r>
          </w:p>
        </w:tc>
        <w:tc>
          <w:tcPr>
            <w:tcW w:type="dxa" w:w="20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Catalogue actes</w:t>
            </w:r>
          </w:p>
        </w:tc>
        <w:tc>
          <w:tcPr>
            <w:tcW w:type="dxa" w:w="34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14 actes seedés : manques ?</w:t>
            </w:r>
          </w:p>
        </w:tc>
        <w:tc>
          <w:tcPr>
            <w:tcW w:type="dxa" w:w="20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Catalogue médicaments</w:t>
            </w:r>
          </w:p>
        </w:tc>
        <w:tc>
          <w:tcPr>
            <w:tcW w:type="dxa" w:w="34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8 spécialités seedées : compléter ?</w:t>
            </w:r>
          </w:p>
        </w:tc>
        <w:tc>
          <w:tcPr>
            <w:tcW w:type="dxa" w:w="20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Dossier de soins</w:t>
            </w:r>
          </w:p>
        </w:tc>
        <w:tc>
          <w:tcPr>
            <w:tcW w:type="dxa" w:w="34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Timeline compréhensible pour chaque rôle ?</w:t>
            </w:r>
          </w:p>
        </w:tc>
        <w:tc>
          <w:tcPr>
            <w:tcW w:type="dxa" w:w="20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Menu assuré (17 items)</w:t>
            </w:r>
          </w:p>
        </w:tc>
        <w:tc>
          <w:tcPr>
            <w:tcW w:type="dxa" w:w="34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Trop chargé ? Faut-il regrouper ?</w:t>
            </w:r>
          </w:p>
        </w:tc>
        <w:tc>
          <w:tcPr>
            <w:tcW w:type="dxa" w:w="20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Menu prestataire (12 items)</w:t>
            </w:r>
          </w:p>
        </w:tc>
        <w:tc>
          <w:tcPr>
            <w:tcW w:type="dxa" w:w="34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Ordre et intitulés pertinents ?</w:t>
            </w:r>
          </w:p>
        </w:tc>
        <w:tc>
          <w:tcPr>
            <w:tcW w:type="dxa" w:w="20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Notifications</w:t>
            </w:r>
          </w:p>
        </w:tc>
        <w:tc>
          <w:tcPr>
            <w:tcW w:type="dxa" w:w="34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Canaux e-mail/SMS/WhatsApp : sujets corrects ?</w:t>
            </w:r>
          </w:p>
        </w:tc>
        <w:tc>
          <w:tcPr>
            <w:tcW w:type="dxa" w:w="20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PDF (certificat, attestation)</w:t>
            </w:r>
          </w:p>
        </w:tc>
        <w:tc>
          <w:tcPr>
            <w:tcW w:type="dxa" w:w="34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Mentions légales suffisantes ?</w:t>
            </w:r>
          </w:p>
        </w:tc>
        <w:tc>
          <w:tcPr>
            <w:tcW w:type="dxa" w:w="20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Sécurité</w:t>
            </w:r>
          </w:p>
        </w:tc>
        <w:tc>
          <w:tcPr>
            <w:tcW w:type="dxa" w:w="34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Chiffrement, QR opaque, cloisonnement : conforme à vos exigences ?</w:t>
            </w:r>
          </w:p>
        </w:tc>
        <w:tc>
          <w:tcPr>
            <w:tcW w:type="dxa" w:w="20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Photos</w:t>
            </w:r>
          </w:p>
        </w:tc>
        <w:tc>
          <w:tcPr>
            <w:tcW w:type="dxa" w:w="34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Portrait obligatoire sur carte + vérification visuelle prestataire : flux et mentions RGPD clairs ?</w:t>
            </w:r>
          </w:p>
        </w:tc>
        <w:tc>
          <w:tcPr>
            <w:tcW w:type="dxa" w:w="20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Hors-ligne</w:t>
            </w:r>
          </w:p>
        </w:tc>
        <w:tc>
          <w:tcPr>
            <w:tcW w:type="dxa" w:w="34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Mode dégradé souhaité en cas de connexion faible ?</w:t>
            </w:r>
          </w:p>
        </w:tc>
        <w:tc>
          <w:tcPr>
            <w:tcW w:type="dxa" w:w="20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/>
            </w:r>
          </w:p>
        </w:tc>
      </w:tr>
    </w:tbl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8"/>
          <w:szCs w:val="18"/>
        </w:rPr>
        <w:t xml:space="preserve">Statut : laissez vide = à discuter en revue. Utilisez les commentaires Word (Insertion → Nouveau commentaire) pour pointer un passage précis.</w:t>
      </w:r>
    </w:p>
    <w:p>
      <w:pPr>
        <w:shd w:fill="F0FDFA" w:val="clear"/>
        <w:spacing w:before="300"/>
      </w:pPr>
      <w:r>
        <w:rPr>
          <w:rFonts w:ascii="Calibri" w:cs="Calibri" w:eastAsia="Calibri" w:hAnsi="Calibri"/>
          <w:i/>
          <w:iCs/>
          <w:color w:val="134E4A"/>
          <w:sz w:val="18"/>
          <w:szCs w:val="18"/>
        </w:rPr>
        <w:t xml:space="preserve">Prochaine étape proposée : revue de 60 minutes avec la direction métier et technique — nous parcourons ce guide page par page et figeons les ajustements pour le pilote.</w:t>
      </w:r>
    </w:p>
    <w:p>
      <w:pPr>
        <w:pStyle w:val="Heading1"/>
        <w:pBdr>
          <w:bottom w:val="single" w:color="0F766E" w:sz="2" w:space="4"/>
        </w:pBdr>
        <w:spacing w:after="120" w:before="360"/>
      </w:pPr>
      <w:r>
        <w:rPr>
          <w:rFonts w:ascii="Cambria" w:cs="Cambria" w:eastAsia="Cambria" w:hAnsi="Cambria"/>
          <w:b/>
          <w:bCs/>
          <w:color w:val="134E4A"/>
          <w:sz w:val="28"/>
          <w:szCs w:val="28"/>
        </w:rPr>
        <w:t xml:space="preserve">Annexe  —  Matrice des permissions (extrait)</w:t>
      </w:r>
    </w:p>
    <w:tbl>
      <w:tblPr>
        <w:tblW w:type="dxa" w:w="90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26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260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Permission</w:t>
            </w:r>
          </w:p>
        </w:tc>
        <w:tc>
          <w:tcPr>
            <w:tcW w:type="dxa" w:w="110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SUPER_ADMIN</w:t>
            </w:r>
          </w:p>
        </w:tc>
        <w:tc>
          <w:tcPr>
            <w:tcW w:type="dxa" w:w="110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Assurance</w:t>
            </w:r>
          </w:p>
        </w:tc>
        <w:tc>
          <w:tcPr>
            <w:tcW w:type="dxa" w:w="110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Support</w:t>
            </w:r>
          </w:p>
        </w:tc>
        <w:tc>
          <w:tcPr>
            <w:tcW w:type="dxa" w:w="110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Médecin</w:t>
            </w:r>
          </w:p>
        </w:tc>
        <w:tc>
          <w:tcPr>
            <w:tcW w:type="dxa" w:w="110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Pharmacie</w:t>
            </w:r>
          </w:p>
        </w:tc>
        <w:tc>
          <w:tcPr>
            <w:tcW w:type="dxa" w:w="110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Membre</w:t>
            </w:r>
          </w:p>
        </w:tc>
      </w:tr>
      <w:tr>
        <w:tc>
          <w:tcPr>
            <w:tcW w:type="dxa" w:w="26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provider.prescribe</w:t>
            </w:r>
          </w:p>
        </w:tc>
        <w:tc>
          <w:tcPr>
            <w:tcW w:type="dxa" w:w="11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✓</w:t>
            </w:r>
          </w:p>
        </w:tc>
        <w:tc>
          <w:tcPr>
            <w:tcW w:type="dxa" w:w="11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✓</w:t>
            </w:r>
          </w:p>
        </w:tc>
        <w:tc>
          <w:tcPr>
            <w:tcW w:type="dxa" w:w="11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6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provider.verify</w:t>
            </w:r>
          </w:p>
        </w:tc>
        <w:tc>
          <w:tcPr>
            <w:tcW w:type="dxa" w:w="11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✓</w:t>
            </w:r>
          </w:p>
        </w:tc>
        <w:tc>
          <w:tcPr>
            <w:tcW w:type="dxa" w:w="11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✓</w:t>
            </w:r>
          </w:p>
        </w:tc>
        <w:tc>
          <w:tcPr>
            <w:tcW w:type="dxa" w:w="11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✓</w:t>
            </w:r>
          </w:p>
        </w:tc>
        <w:tc>
          <w:tcPr>
            <w:tcW w:type="dxa" w:w="11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✓</w:t>
            </w:r>
          </w:p>
        </w:tc>
        <w:tc>
          <w:tcPr>
            <w:tcW w:type="dxa" w:w="11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✓</w:t>
            </w:r>
          </w:p>
        </w:tc>
        <w:tc>
          <w:tcPr>
            <w:tcW w:type="dxa" w:w="11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6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provider.thirdparty</w:t>
            </w:r>
          </w:p>
        </w:tc>
        <w:tc>
          <w:tcPr>
            <w:tcW w:type="dxa" w:w="11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✓</w:t>
            </w:r>
          </w:p>
        </w:tc>
        <w:tc>
          <w:tcPr>
            <w:tcW w:type="dxa" w:w="11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✓</w:t>
            </w:r>
          </w:p>
        </w:tc>
        <w:tc>
          <w:tcPr>
            <w:tcW w:type="dxa" w:w="11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✓</w:t>
            </w:r>
          </w:p>
        </w:tc>
        <w:tc>
          <w:tcPr>
            <w:tcW w:type="dxa" w:w="11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✓</w:t>
            </w:r>
          </w:p>
        </w:tc>
        <w:tc>
          <w:tcPr>
            <w:tcW w:type="dxa" w:w="11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6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provider.staff</w:t>
            </w:r>
          </w:p>
        </w:tc>
        <w:tc>
          <w:tcPr>
            <w:tcW w:type="dxa" w:w="11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✓</w:t>
            </w:r>
          </w:p>
        </w:tc>
        <w:tc>
          <w:tcPr>
            <w:tcW w:type="dxa" w:w="11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✓ (admin étab.)</w:t>
            </w:r>
          </w:p>
        </w:tc>
        <w:tc>
          <w:tcPr>
            <w:tcW w:type="dxa" w:w="11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✓ (admin étab.)</w:t>
            </w:r>
          </w:p>
        </w:tc>
        <w:tc>
          <w:tcPr>
            <w:tcW w:type="dxa" w:w="11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6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products.manage</w:t>
            </w:r>
          </w:p>
        </w:tc>
        <w:tc>
          <w:tcPr>
            <w:tcW w:type="dxa" w:w="11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✓</w:t>
            </w:r>
          </w:p>
        </w:tc>
        <w:tc>
          <w:tcPr>
            <w:tcW w:type="dxa" w:w="11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✓</w:t>
            </w:r>
          </w:p>
        </w:tc>
        <w:tc>
          <w:tcPr>
            <w:tcW w:type="dxa" w:w="11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6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claims.decide</w:t>
            </w:r>
          </w:p>
        </w:tc>
        <w:tc>
          <w:tcPr>
            <w:tcW w:type="dxa" w:w="11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✓</w:t>
            </w:r>
          </w:p>
        </w:tc>
        <w:tc>
          <w:tcPr>
            <w:tcW w:type="dxa" w:w="11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✓</w:t>
            </w:r>
          </w:p>
        </w:tc>
        <w:tc>
          <w:tcPr>
            <w:tcW w:type="dxa" w:w="11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6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accounting.view</w:t>
            </w:r>
          </w:p>
        </w:tc>
        <w:tc>
          <w:tcPr>
            <w:tcW w:type="dxa" w:w="11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✓</w:t>
            </w:r>
          </w:p>
        </w:tc>
        <w:tc>
          <w:tcPr>
            <w:tcW w:type="dxa" w:w="11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✓</w:t>
            </w:r>
          </w:p>
        </w:tc>
        <w:tc>
          <w:tcPr>
            <w:tcW w:type="dxa" w:w="11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6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referential.manage</w:t>
            </w:r>
          </w:p>
        </w:tc>
        <w:tc>
          <w:tcPr>
            <w:tcW w:type="dxa" w:w="11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✓</w:t>
            </w:r>
          </w:p>
        </w:tc>
        <w:tc>
          <w:tcPr>
            <w:tcW w:type="dxa" w:w="11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✓</w:t>
            </w:r>
          </w:p>
        </w:tc>
        <w:tc>
          <w:tcPr>
            <w:tcW w:type="dxa" w:w="11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18"/>
          <w:szCs w:val="18"/>
        </w:rPr>
        <w:t xml:space="preserve">La matrice complète (14 clés) est éditable dans /admin/roles sans redéploiement.</w:t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4"/>
        <w:szCs w:val="14"/>
      </w:rPr>
      <w:t xml:space="preserve">  —  SantéPlus Bénin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1" w:space="4"/>
      </w:pBdr>
      <w:jc w:val="right"/>
    </w:pPr>
    <w:r>
      <w:rPr>
        <w:rFonts w:ascii="Calibri" w:cs="Calibri" w:eastAsia="Calibri" w:hAnsi="Calibri"/>
        <w:color w:val="64748B"/>
        <w:sz w:val="14"/>
        <w:szCs w:val="14"/>
      </w:rPr>
      <w:t xml:space="preserve">SantéPlus Bénin  •  Guide des interfaces &amp; procédures  •  Confidentiel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360"/>
    </w:pPr>
    <w:rPr>
      <w:rFonts w:ascii="Cambria" w:cs="Cambria" w:eastAsia="Cambria" w:hAnsi="Cambria"/>
      <w:color w:val="134E4A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Cambria" w:cs="Cambria" w:eastAsia="Cambria" w:hAnsi="Cambria"/>
      <w:color w:val="1E293B"/>
      <w:sz w:val="24"/>
      <w:szCs w:val="24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color w:val="0F766E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80"/>
    </w:pPr>
    <w:rPr>
      <w:rFonts w:ascii="Calibri" w:cs="Calibri" w:eastAsia="Calibri" w:hAnsi="Calibri"/>
      <w:color w:val="1E293B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2026-09-05T11:26:17.653Z</dcterms:created>
  <dcterms:modified xsi:type="dcterms:W3CDTF">2026-09-05T11:26:17.654Z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