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2138DE" w14:textId="77777777" w:rsidR="002A679B" w:rsidRPr="00014034" w:rsidRDefault="002A679B">
      <w:pPr>
        <w:rPr>
          <w:rFonts w:cstheme="minorHAnsi"/>
          <w:b/>
          <w:color w:val="000000"/>
          <w:sz w:val="32"/>
          <w:szCs w:val="32"/>
        </w:rPr>
      </w:pPr>
      <w:r w:rsidRPr="00014034">
        <w:rPr>
          <w:rFonts w:cstheme="minorHAnsi"/>
          <w:b/>
          <w:color w:val="000000"/>
          <w:sz w:val="32"/>
          <w:szCs w:val="32"/>
        </w:rPr>
        <w:t>HW2:</w:t>
      </w:r>
    </w:p>
    <w:p w14:paraId="748F9CFF" w14:textId="77777777" w:rsidR="002A679B" w:rsidRDefault="002A679B">
      <w:pPr>
        <w:rPr>
          <w:rFonts w:cstheme="minorHAnsi"/>
          <w:color w:val="000000"/>
        </w:rPr>
      </w:pPr>
    </w:p>
    <w:p w14:paraId="3D7B4157" w14:textId="0CFABE1C" w:rsidR="00014034" w:rsidRDefault="00014034">
      <w:pPr>
        <w:rPr>
          <w:rFonts w:cstheme="minorHAnsi"/>
          <w:color w:val="000000"/>
        </w:rPr>
      </w:pPr>
      <w:r>
        <w:rPr>
          <w:rFonts w:cstheme="minorHAnsi"/>
          <w:color w:val="000000"/>
        </w:rPr>
        <w:t>Students: Qiyi Song, Lixin Yan</w:t>
      </w:r>
      <w:bookmarkStart w:id="0" w:name="_GoBack"/>
      <w:bookmarkEnd w:id="0"/>
    </w:p>
    <w:p w14:paraId="3C86731C" w14:textId="77777777" w:rsidR="00014034" w:rsidRDefault="00014034">
      <w:pPr>
        <w:rPr>
          <w:rFonts w:cstheme="minorHAnsi"/>
          <w:color w:val="000000"/>
        </w:rPr>
      </w:pPr>
    </w:p>
    <w:p w14:paraId="4486E8AF" w14:textId="77777777" w:rsidR="002A679B" w:rsidRDefault="002A679B">
      <w:pPr>
        <w:rPr>
          <w:rFonts w:cstheme="minorHAnsi"/>
          <w:color w:val="000000"/>
        </w:rPr>
      </w:pPr>
      <w:r>
        <w:rPr>
          <w:rFonts w:cstheme="minorHAnsi"/>
          <w:color w:val="000000"/>
        </w:rPr>
        <w:t>a) The Five Indices downloaded are:</w:t>
      </w:r>
    </w:p>
    <w:tbl>
      <w:tblPr>
        <w:tblW w:w="9023" w:type="dxa"/>
        <w:tblInd w:w="93" w:type="dxa"/>
        <w:tblLook w:val="04A0" w:firstRow="1" w:lastRow="0" w:firstColumn="1" w:lastColumn="0" w:noHBand="0" w:noVBand="1"/>
      </w:tblPr>
      <w:tblGrid>
        <w:gridCol w:w="2014"/>
        <w:gridCol w:w="1939"/>
        <w:gridCol w:w="1466"/>
        <w:gridCol w:w="1466"/>
        <w:gridCol w:w="2138"/>
      </w:tblGrid>
      <w:tr w:rsidR="002A679B" w:rsidRPr="002A679B" w14:paraId="6BB9AE32" w14:textId="77777777" w:rsidTr="002A679B">
        <w:trPr>
          <w:trHeight w:val="311"/>
        </w:trPr>
        <w:tc>
          <w:tcPr>
            <w:tcW w:w="2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959C5" w14:textId="77777777" w:rsidR="002A679B" w:rsidRPr="003615B1" w:rsidRDefault="002A679B" w:rsidP="002A679B">
            <w:pPr>
              <w:rPr>
                <w:rFonts w:cstheme="minorHAnsi"/>
                <w:color w:val="000000"/>
              </w:rPr>
            </w:pPr>
            <w:r w:rsidRPr="003615B1">
              <w:rPr>
                <w:rFonts w:cstheme="minorHAnsi"/>
                <w:color w:val="000000"/>
              </w:rPr>
              <w:t>Country/District</w:t>
            </w:r>
          </w:p>
        </w:tc>
        <w:tc>
          <w:tcPr>
            <w:tcW w:w="1939" w:type="dxa"/>
            <w:tcBorders>
              <w:top w:val="single" w:sz="4" w:space="0" w:color="auto"/>
              <w:left w:val="nil"/>
              <w:bottom w:val="single" w:sz="4" w:space="0" w:color="auto"/>
              <w:right w:val="single" w:sz="4" w:space="0" w:color="auto"/>
            </w:tcBorders>
            <w:shd w:val="clear" w:color="auto" w:fill="auto"/>
            <w:noWrap/>
            <w:vAlign w:val="bottom"/>
            <w:hideMark/>
          </w:tcPr>
          <w:p w14:paraId="44158606" w14:textId="77777777" w:rsidR="002A679B" w:rsidRPr="003615B1" w:rsidRDefault="002A679B" w:rsidP="002A679B">
            <w:pPr>
              <w:rPr>
                <w:rFonts w:cstheme="minorHAnsi"/>
                <w:color w:val="000000"/>
              </w:rPr>
            </w:pPr>
            <w:r w:rsidRPr="003615B1">
              <w:rPr>
                <w:rFonts w:cstheme="minorHAnsi"/>
                <w:color w:val="000000"/>
              </w:rPr>
              <w:t>Index Name</w:t>
            </w:r>
          </w:p>
        </w:tc>
        <w:tc>
          <w:tcPr>
            <w:tcW w:w="1466" w:type="dxa"/>
            <w:tcBorders>
              <w:top w:val="single" w:sz="4" w:space="0" w:color="auto"/>
              <w:left w:val="nil"/>
              <w:bottom w:val="single" w:sz="4" w:space="0" w:color="auto"/>
              <w:right w:val="single" w:sz="4" w:space="0" w:color="auto"/>
            </w:tcBorders>
            <w:shd w:val="clear" w:color="auto" w:fill="auto"/>
            <w:noWrap/>
            <w:vAlign w:val="bottom"/>
            <w:hideMark/>
          </w:tcPr>
          <w:p w14:paraId="08C37B82" w14:textId="77777777" w:rsidR="002A679B" w:rsidRPr="003615B1" w:rsidRDefault="002A679B" w:rsidP="002A679B">
            <w:pPr>
              <w:rPr>
                <w:rFonts w:cstheme="minorHAnsi"/>
                <w:color w:val="000000"/>
              </w:rPr>
            </w:pPr>
            <w:r w:rsidRPr="003615B1">
              <w:rPr>
                <w:rFonts w:cstheme="minorHAnsi"/>
                <w:color w:val="000000"/>
              </w:rPr>
              <w:t>Start Date</w:t>
            </w:r>
          </w:p>
        </w:tc>
        <w:tc>
          <w:tcPr>
            <w:tcW w:w="1466" w:type="dxa"/>
            <w:tcBorders>
              <w:top w:val="single" w:sz="4" w:space="0" w:color="auto"/>
              <w:left w:val="nil"/>
              <w:bottom w:val="single" w:sz="4" w:space="0" w:color="auto"/>
              <w:right w:val="single" w:sz="4" w:space="0" w:color="auto"/>
            </w:tcBorders>
            <w:shd w:val="clear" w:color="auto" w:fill="auto"/>
            <w:noWrap/>
            <w:vAlign w:val="bottom"/>
            <w:hideMark/>
          </w:tcPr>
          <w:p w14:paraId="4E65F036" w14:textId="77777777" w:rsidR="002A679B" w:rsidRPr="003615B1" w:rsidRDefault="002A679B" w:rsidP="002A679B">
            <w:pPr>
              <w:rPr>
                <w:rFonts w:cstheme="minorHAnsi"/>
                <w:color w:val="000000"/>
              </w:rPr>
            </w:pPr>
            <w:r w:rsidRPr="003615B1">
              <w:rPr>
                <w:rFonts w:cstheme="minorHAnsi"/>
                <w:color w:val="000000"/>
              </w:rPr>
              <w:t>End date</w:t>
            </w:r>
          </w:p>
        </w:tc>
        <w:tc>
          <w:tcPr>
            <w:tcW w:w="2138" w:type="dxa"/>
            <w:tcBorders>
              <w:top w:val="single" w:sz="4" w:space="0" w:color="auto"/>
              <w:left w:val="nil"/>
              <w:bottom w:val="single" w:sz="4" w:space="0" w:color="auto"/>
              <w:right w:val="single" w:sz="4" w:space="0" w:color="auto"/>
            </w:tcBorders>
            <w:shd w:val="clear" w:color="auto" w:fill="auto"/>
            <w:noWrap/>
            <w:vAlign w:val="bottom"/>
            <w:hideMark/>
          </w:tcPr>
          <w:p w14:paraId="37BD141F" w14:textId="77777777" w:rsidR="002A679B" w:rsidRPr="003615B1" w:rsidRDefault="002A679B" w:rsidP="002A679B">
            <w:pPr>
              <w:rPr>
                <w:rFonts w:cstheme="minorHAnsi"/>
                <w:color w:val="000000"/>
              </w:rPr>
            </w:pPr>
            <w:r w:rsidRPr="003615B1">
              <w:rPr>
                <w:rFonts w:cstheme="minorHAnsi"/>
                <w:color w:val="000000"/>
              </w:rPr>
              <w:t>File Name</w:t>
            </w:r>
          </w:p>
        </w:tc>
      </w:tr>
      <w:tr w:rsidR="002A679B" w:rsidRPr="002A679B" w14:paraId="739155B6" w14:textId="77777777" w:rsidTr="002A679B">
        <w:trPr>
          <w:trHeight w:val="311"/>
        </w:trPr>
        <w:tc>
          <w:tcPr>
            <w:tcW w:w="2014" w:type="dxa"/>
            <w:tcBorders>
              <w:top w:val="nil"/>
              <w:left w:val="single" w:sz="4" w:space="0" w:color="auto"/>
              <w:bottom w:val="single" w:sz="4" w:space="0" w:color="auto"/>
              <w:right w:val="single" w:sz="4" w:space="0" w:color="auto"/>
            </w:tcBorders>
            <w:shd w:val="clear" w:color="auto" w:fill="auto"/>
            <w:noWrap/>
            <w:vAlign w:val="bottom"/>
            <w:hideMark/>
          </w:tcPr>
          <w:p w14:paraId="4D5C9233" w14:textId="77777777" w:rsidR="002A679B" w:rsidRPr="003615B1" w:rsidRDefault="002A679B" w:rsidP="002A679B">
            <w:pPr>
              <w:rPr>
                <w:rFonts w:cstheme="minorHAnsi"/>
                <w:color w:val="000000"/>
              </w:rPr>
            </w:pPr>
            <w:r w:rsidRPr="003615B1">
              <w:rPr>
                <w:rFonts w:cstheme="minorHAnsi"/>
                <w:color w:val="000000"/>
              </w:rPr>
              <w:t>US</w:t>
            </w:r>
          </w:p>
        </w:tc>
        <w:tc>
          <w:tcPr>
            <w:tcW w:w="1939" w:type="dxa"/>
            <w:tcBorders>
              <w:top w:val="nil"/>
              <w:left w:val="nil"/>
              <w:bottom w:val="single" w:sz="4" w:space="0" w:color="auto"/>
              <w:right w:val="single" w:sz="4" w:space="0" w:color="auto"/>
            </w:tcBorders>
            <w:shd w:val="clear" w:color="auto" w:fill="auto"/>
            <w:noWrap/>
            <w:vAlign w:val="bottom"/>
            <w:hideMark/>
          </w:tcPr>
          <w:p w14:paraId="736186DD" w14:textId="77777777" w:rsidR="002A679B" w:rsidRPr="003615B1" w:rsidRDefault="002A679B" w:rsidP="002A679B">
            <w:pPr>
              <w:rPr>
                <w:rFonts w:cstheme="minorHAnsi"/>
                <w:color w:val="000000"/>
              </w:rPr>
            </w:pPr>
            <w:r w:rsidRPr="003615B1">
              <w:rPr>
                <w:rFonts w:cstheme="minorHAnsi"/>
                <w:color w:val="000000"/>
              </w:rPr>
              <w:t>S&amp;P500</w:t>
            </w:r>
          </w:p>
        </w:tc>
        <w:tc>
          <w:tcPr>
            <w:tcW w:w="1466" w:type="dxa"/>
            <w:tcBorders>
              <w:top w:val="nil"/>
              <w:left w:val="nil"/>
              <w:bottom w:val="single" w:sz="4" w:space="0" w:color="auto"/>
              <w:right w:val="single" w:sz="4" w:space="0" w:color="auto"/>
            </w:tcBorders>
            <w:shd w:val="clear" w:color="auto" w:fill="auto"/>
            <w:noWrap/>
            <w:vAlign w:val="bottom"/>
            <w:hideMark/>
          </w:tcPr>
          <w:p w14:paraId="7F7FD267" w14:textId="77777777" w:rsidR="002A679B" w:rsidRPr="003615B1" w:rsidRDefault="002A679B" w:rsidP="002A679B">
            <w:pPr>
              <w:rPr>
                <w:rFonts w:cstheme="minorHAnsi"/>
                <w:color w:val="000000"/>
              </w:rPr>
            </w:pPr>
            <w:r w:rsidRPr="003615B1">
              <w:rPr>
                <w:rFonts w:cstheme="minorHAnsi"/>
                <w:color w:val="000000"/>
              </w:rPr>
              <w:t> </w:t>
            </w:r>
            <w:r w:rsidR="003615B1" w:rsidRPr="003615B1">
              <w:rPr>
                <w:rFonts w:cstheme="minorHAnsi"/>
                <w:color w:val="000000"/>
              </w:rPr>
              <w:t>1980-01-02</w:t>
            </w:r>
          </w:p>
        </w:tc>
        <w:tc>
          <w:tcPr>
            <w:tcW w:w="1466" w:type="dxa"/>
            <w:tcBorders>
              <w:top w:val="nil"/>
              <w:left w:val="nil"/>
              <w:bottom w:val="single" w:sz="4" w:space="0" w:color="auto"/>
              <w:right w:val="single" w:sz="4" w:space="0" w:color="auto"/>
            </w:tcBorders>
            <w:shd w:val="clear" w:color="auto" w:fill="auto"/>
            <w:noWrap/>
            <w:vAlign w:val="bottom"/>
            <w:hideMark/>
          </w:tcPr>
          <w:p w14:paraId="65B7BF03" w14:textId="77777777" w:rsidR="002A679B" w:rsidRPr="003615B1" w:rsidRDefault="003615B1" w:rsidP="002A679B">
            <w:pPr>
              <w:rPr>
                <w:rFonts w:cstheme="minorHAnsi"/>
                <w:color w:val="000000"/>
              </w:rPr>
            </w:pPr>
            <w:r w:rsidRPr="003615B1">
              <w:rPr>
                <w:rFonts w:cstheme="minorHAnsi"/>
                <w:color w:val="000000"/>
              </w:rPr>
              <w:t>2018-02-21</w:t>
            </w:r>
          </w:p>
        </w:tc>
        <w:tc>
          <w:tcPr>
            <w:tcW w:w="2138" w:type="dxa"/>
            <w:tcBorders>
              <w:top w:val="nil"/>
              <w:left w:val="nil"/>
              <w:bottom w:val="single" w:sz="4" w:space="0" w:color="auto"/>
              <w:right w:val="single" w:sz="4" w:space="0" w:color="auto"/>
            </w:tcBorders>
            <w:shd w:val="clear" w:color="auto" w:fill="auto"/>
            <w:noWrap/>
            <w:vAlign w:val="bottom"/>
            <w:hideMark/>
          </w:tcPr>
          <w:p w14:paraId="5527D132" w14:textId="77777777" w:rsidR="002A679B" w:rsidRPr="003615B1" w:rsidRDefault="002A679B" w:rsidP="002A679B">
            <w:pPr>
              <w:rPr>
                <w:rFonts w:cstheme="minorHAnsi"/>
                <w:color w:val="000000"/>
              </w:rPr>
            </w:pPr>
            <w:r w:rsidRPr="003615B1">
              <w:rPr>
                <w:rFonts w:cstheme="minorHAnsi"/>
                <w:color w:val="000000"/>
              </w:rPr>
              <w:t>^GSPC.csv</w:t>
            </w:r>
          </w:p>
        </w:tc>
      </w:tr>
      <w:tr w:rsidR="003615B1" w:rsidRPr="002A679B" w14:paraId="604CCF28" w14:textId="77777777" w:rsidTr="002A679B">
        <w:trPr>
          <w:trHeight w:val="311"/>
        </w:trPr>
        <w:tc>
          <w:tcPr>
            <w:tcW w:w="2014" w:type="dxa"/>
            <w:tcBorders>
              <w:top w:val="nil"/>
              <w:left w:val="single" w:sz="4" w:space="0" w:color="auto"/>
              <w:bottom w:val="single" w:sz="4" w:space="0" w:color="auto"/>
              <w:right w:val="single" w:sz="4" w:space="0" w:color="auto"/>
            </w:tcBorders>
            <w:shd w:val="clear" w:color="auto" w:fill="auto"/>
            <w:noWrap/>
            <w:vAlign w:val="bottom"/>
            <w:hideMark/>
          </w:tcPr>
          <w:p w14:paraId="29920C32" w14:textId="77777777" w:rsidR="003615B1" w:rsidRPr="003615B1" w:rsidRDefault="003615B1" w:rsidP="002A679B">
            <w:pPr>
              <w:rPr>
                <w:rFonts w:cstheme="minorHAnsi"/>
                <w:color w:val="000000"/>
              </w:rPr>
            </w:pPr>
            <w:r w:rsidRPr="003615B1">
              <w:rPr>
                <w:rFonts w:cstheme="minorHAnsi"/>
                <w:color w:val="000000"/>
              </w:rPr>
              <w:t>Japan</w:t>
            </w:r>
          </w:p>
        </w:tc>
        <w:tc>
          <w:tcPr>
            <w:tcW w:w="1939" w:type="dxa"/>
            <w:tcBorders>
              <w:top w:val="nil"/>
              <w:left w:val="nil"/>
              <w:bottom w:val="single" w:sz="4" w:space="0" w:color="auto"/>
              <w:right w:val="single" w:sz="4" w:space="0" w:color="auto"/>
            </w:tcBorders>
            <w:shd w:val="clear" w:color="auto" w:fill="auto"/>
            <w:noWrap/>
            <w:vAlign w:val="bottom"/>
            <w:hideMark/>
          </w:tcPr>
          <w:p w14:paraId="62EAB55A" w14:textId="77777777" w:rsidR="003615B1" w:rsidRPr="003615B1" w:rsidRDefault="003615B1" w:rsidP="002A679B">
            <w:pPr>
              <w:rPr>
                <w:rFonts w:cstheme="minorHAnsi"/>
                <w:color w:val="000000"/>
              </w:rPr>
            </w:pPr>
            <w:r w:rsidRPr="003615B1">
              <w:rPr>
                <w:rFonts w:cstheme="minorHAnsi"/>
                <w:color w:val="000000"/>
              </w:rPr>
              <w:t>Nikkei 225</w:t>
            </w:r>
          </w:p>
        </w:tc>
        <w:tc>
          <w:tcPr>
            <w:tcW w:w="1466" w:type="dxa"/>
            <w:tcBorders>
              <w:top w:val="nil"/>
              <w:left w:val="nil"/>
              <w:bottom w:val="single" w:sz="4" w:space="0" w:color="auto"/>
              <w:right w:val="single" w:sz="4" w:space="0" w:color="auto"/>
            </w:tcBorders>
            <w:shd w:val="clear" w:color="auto" w:fill="auto"/>
            <w:noWrap/>
            <w:vAlign w:val="bottom"/>
            <w:hideMark/>
          </w:tcPr>
          <w:p w14:paraId="613C19B5" w14:textId="77777777" w:rsidR="003615B1" w:rsidRPr="003615B1" w:rsidRDefault="003615B1" w:rsidP="003615B1">
            <w:pPr>
              <w:rPr>
                <w:rFonts w:cstheme="minorHAnsi"/>
                <w:color w:val="000000"/>
              </w:rPr>
            </w:pPr>
            <w:r w:rsidRPr="003615B1">
              <w:rPr>
                <w:rFonts w:cstheme="minorHAnsi"/>
                <w:color w:val="000000"/>
              </w:rPr>
              <w:t> 1980-01-02</w:t>
            </w:r>
          </w:p>
        </w:tc>
        <w:tc>
          <w:tcPr>
            <w:tcW w:w="1466" w:type="dxa"/>
            <w:tcBorders>
              <w:top w:val="nil"/>
              <w:left w:val="nil"/>
              <w:bottom w:val="single" w:sz="4" w:space="0" w:color="auto"/>
              <w:right w:val="single" w:sz="4" w:space="0" w:color="auto"/>
            </w:tcBorders>
            <w:shd w:val="clear" w:color="auto" w:fill="auto"/>
            <w:noWrap/>
            <w:vAlign w:val="bottom"/>
            <w:hideMark/>
          </w:tcPr>
          <w:p w14:paraId="59B310B1" w14:textId="77777777" w:rsidR="003615B1" w:rsidRPr="003615B1" w:rsidRDefault="003615B1" w:rsidP="003615B1">
            <w:pPr>
              <w:rPr>
                <w:rFonts w:cstheme="minorHAnsi"/>
                <w:color w:val="000000"/>
              </w:rPr>
            </w:pPr>
            <w:r w:rsidRPr="003615B1">
              <w:rPr>
                <w:rFonts w:cstheme="minorHAnsi"/>
                <w:color w:val="000000"/>
              </w:rPr>
              <w:t>2018-02-22</w:t>
            </w:r>
          </w:p>
        </w:tc>
        <w:tc>
          <w:tcPr>
            <w:tcW w:w="2138" w:type="dxa"/>
            <w:tcBorders>
              <w:top w:val="nil"/>
              <w:left w:val="nil"/>
              <w:bottom w:val="single" w:sz="4" w:space="0" w:color="auto"/>
              <w:right w:val="single" w:sz="4" w:space="0" w:color="auto"/>
            </w:tcBorders>
            <w:shd w:val="clear" w:color="auto" w:fill="auto"/>
            <w:noWrap/>
            <w:vAlign w:val="bottom"/>
            <w:hideMark/>
          </w:tcPr>
          <w:p w14:paraId="45942B45" w14:textId="77777777" w:rsidR="003615B1" w:rsidRPr="003615B1" w:rsidRDefault="003615B1" w:rsidP="002A679B">
            <w:pPr>
              <w:rPr>
                <w:rFonts w:cstheme="minorHAnsi"/>
                <w:color w:val="000000"/>
              </w:rPr>
            </w:pPr>
            <w:r w:rsidRPr="003615B1">
              <w:rPr>
                <w:rFonts w:cstheme="minorHAnsi"/>
                <w:color w:val="000000"/>
              </w:rPr>
              <w:t>^N225.csv</w:t>
            </w:r>
          </w:p>
        </w:tc>
      </w:tr>
      <w:tr w:rsidR="003615B1" w:rsidRPr="002A679B" w14:paraId="028B0E74" w14:textId="77777777" w:rsidTr="002A679B">
        <w:trPr>
          <w:trHeight w:val="311"/>
        </w:trPr>
        <w:tc>
          <w:tcPr>
            <w:tcW w:w="2014" w:type="dxa"/>
            <w:tcBorders>
              <w:top w:val="nil"/>
              <w:left w:val="single" w:sz="4" w:space="0" w:color="auto"/>
              <w:bottom w:val="single" w:sz="4" w:space="0" w:color="auto"/>
              <w:right w:val="single" w:sz="4" w:space="0" w:color="auto"/>
            </w:tcBorders>
            <w:shd w:val="clear" w:color="auto" w:fill="auto"/>
            <w:noWrap/>
            <w:vAlign w:val="bottom"/>
            <w:hideMark/>
          </w:tcPr>
          <w:p w14:paraId="7DB40A3E" w14:textId="77777777" w:rsidR="003615B1" w:rsidRPr="003615B1" w:rsidRDefault="003615B1" w:rsidP="002A679B">
            <w:pPr>
              <w:rPr>
                <w:rFonts w:cstheme="minorHAnsi"/>
                <w:color w:val="000000"/>
              </w:rPr>
            </w:pPr>
            <w:r w:rsidRPr="003615B1">
              <w:rPr>
                <w:rFonts w:cstheme="minorHAnsi"/>
                <w:color w:val="000000"/>
              </w:rPr>
              <w:t>Europe</w:t>
            </w:r>
          </w:p>
        </w:tc>
        <w:tc>
          <w:tcPr>
            <w:tcW w:w="1939" w:type="dxa"/>
            <w:tcBorders>
              <w:top w:val="nil"/>
              <w:left w:val="nil"/>
              <w:bottom w:val="single" w:sz="4" w:space="0" w:color="auto"/>
              <w:right w:val="single" w:sz="4" w:space="0" w:color="auto"/>
            </w:tcBorders>
            <w:shd w:val="clear" w:color="auto" w:fill="auto"/>
            <w:noWrap/>
            <w:vAlign w:val="bottom"/>
            <w:hideMark/>
          </w:tcPr>
          <w:p w14:paraId="7EF9EF1F" w14:textId="77777777" w:rsidR="003615B1" w:rsidRPr="003615B1" w:rsidRDefault="003615B1" w:rsidP="002A679B">
            <w:pPr>
              <w:rPr>
                <w:rFonts w:cstheme="minorHAnsi"/>
                <w:color w:val="000000"/>
              </w:rPr>
            </w:pPr>
            <w:r w:rsidRPr="003615B1">
              <w:rPr>
                <w:rFonts w:cstheme="minorHAnsi"/>
                <w:color w:val="000000"/>
              </w:rPr>
              <w:t>ESTX50 EUR P</w:t>
            </w:r>
          </w:p>
        </w:tc>
        <w:tc>
          <w:tcPr>
            <w:tcW w:w="1466" w:type="dxa"/>
            <w:tcBorders>
              <w:top w:val="nil"/>
              <w:left w:val="nil"/>
              <w:bottom w:val="single" w:sz="4" w:space="0" w:color="auto"/>
              <w:right w:val="single" w:sz="4" w:space="0" w:color="auto"/>
            </w:tcBorders>
            <w:shd w:val="clear" w:color="auto" w:fill="auto"/>
            <w:noWrap/>
            <w:vAlign w:val="bottom"/>
            <w:hideMark/>
          </w:tcPr>
          <w:p w14:paraId="5557692D" w14:textId="77777777" w:rsidR="003615B1" w:rsidRPr="003615B1" w:rsidRDefault="003615B1" w:rsidP="003615B1">
            <w:pPr>
              <w:rPr>
                <w:rFonts w:cstheme="minorHAnsi"/>
                <w:color w:val="000000"/>
              </w:rPr>
            </w:pPr>
            <w:r w:rsidRPr="003615B1">
              <w:rPr>
                <w:rFonts w:cstheme="minorHAnsi"/>
                <w:color w:val="000000"/>
              </w:rPr>
              <w:t> 1986-12-31</w:t>
            </w:r>
          </w:p>
        </w:tc>
        <w:tc>
          <w:tcPr>
            <w:tcW w:w="1466" w:type="dxa"/>
            <w:tcBorders>
              <w:top w:val="nil"/>
              <w:left w:val="nil"/>
              <w:bottom w:val="single" w:sz="4" w:space="0" w:color="auto"/>
              <w:right w:val="single" w:sz="4" w:space="0" w:color="auto"/>
            </w:tcBorders>
            <w:shd w:val="clear" w:color="auto" w:fill="auto"/>
            <w:noWrap/>
            <w:vAlign w:val="bottom"/>
            <w:hideMark/>
          </w:tcPr>
          <w:p w14:paraId="156AD95D" w14:textId="77777777" w:rsidR="003615B1" w:rsidRPr="003615B1" w:rsidRDefault="003615B1" w:rsidP="003615B1">
            <w:pPr>
              <w:rPr>
                <w:rFonts w:cstheme="minorHAnsi"/>
                <w:color w:val="000000"/>
              </w:rPr>
            </w:pPr>
            <w:r w:rsidRPr="003615B1">
              <w:rPr>
                <w:rFonts w:cstheme="minorHAnsi"/>
                <w:color w:val="000000"/>
              </w:rPr>
              <w:t>2018-02-22</w:t>
            </w:r>
          </w:p>
        </w:tc>
        <w:tc>
          <w:tcPr>
            <w:tcW w:w="2138" w:type="dxa"/>
            <w:tcBorders>
              <w:top w:val="nil"/>
              <w:left w:val="nil"/>
              <w:bottom w:val="single" w:sz="4" w:space="0" w:color="auto"/>
              <w:right w:val="single" w:sz="4" w:space="0" w:color="auto"/>
            </w:tcBorders>
            <w:shd w:val="clear" w:color="auto" w:fill="auto"/>
            <w:noWrap/>
            <w:vAlign w:val="center"/>
            <w:hideMark/>
          </w:tcPr>
          <w:p w14:paraId="3F217B7C" w14:textId="77777777" w:rsidR="003615B1" w:rsidRPr="003615B1" w:rsidRDefault="003615B1" w:rsidP="002A679B">
            <w:pPr>
              <w:rPr>
                <w:rFonts w:cstheme="minorHAnsi"/>
                <w:color w:val="000000"/>
              </w:rPr>
            </w:pPr>
            <w:r w:rsidRPr="003615B1">
              <w:rPr>
                <w:rFonts w:cstheme="minorHAnsi"/>
                <w:color w:val="000000"/>
              </w:rPr>
              <w:t>^STOXX50E.csv</w:t>
            </w:r>
          </w:p>
        </w:tc>
      </w:tr>
      <w:tr w:rsidR="003615B1" w:rsidRPr="002A679B" w14:paraId="4871F1D8" w14:textId="77777777" w:rsidTr="002A679B">
        <w:trPr>
          <w:trHeight w:val="311"/>
        </w:trPr>
        <w:tc>
          <w:tcPr>
            <w:tcW w:w="2014" w:type="dxa"/>
            <w:tcBorders>
              <w:top w:val="nil"/>
              <w:left w:val="single" w:sz="4" w:space="0" w:color="auto"/>
              <w:bottom w:val="single" w:sz="4" w:space="0" w:color="auto"/>
              <w:right w:val="single" w:sz="4" w:space="0" w:color="auto"/>
            </w:tcBorders>
            <w:shd w:val="clear" w:color="auto" w:fill="auto"/>
            <w:noWrap/>
            <w:vAlign w:val="bottom"/>
            <w:hideMark/>
          </w:tcPr>
          <w:p w14:paraId="2BB639C8" w14:textId="77777777" w:rsidR="003615B1" w:rsidRPr="003615B1" w:rsidRDefault="003615B1" w:rsidP="002A679B">
            <w:pPr>
              <w:rPr>
                <w:rFonts w:cstheme="minorHAnsi"/>
                <w:color w:val="000000"/>
              </w:rPr>
            </w:pPr>
            <w:r w:rsidRPr="003615B1">
              <w:rPr>
                <w:rFonts w:cstheme="minorHAnsi"/>
                <w:color w:val="000000"/>
              </w:rPr>
              <w:t>German</w:t>
            </w:r>
          </w:p>
        </w:tc>
        <w:tc>
          <w:tcPr>
            <w:tcW w:w="1939" w:type="dxa"/>
            <w:tcBorders>
              <w:top w:val="nil"/>
              <w:left w:val="nil"/>
              <w:bottom w:val="single" w:sz="4" w:space="0" w:color="auto"/>
              <w:right w:val="single" w:sz="4" w:space="0" w:color="auto"/>
            </w:tcBorders>
            <w:shd w:val="clear" w:color="auto" w:fill="auto"/>
            <w:noWrap/>
            <w:vAlign w:val="bottom"/>
            <w:hideMark/>
          </w:tcPr>
          <w:p w14:paraId="08D365A2" w14:textId="77777777" w:rsidR="003615B1" w:rsidRPr="003615B1" w:rsidRDefault="003615B1" w:rsidP="002A679B">
            <w:pPr>
              <w:rPr>
                <w:rFonts w:cstheme="minorHAnsi"/>
                <w:color w:val="000000"/>
              </w:rPr>
            </w:pPr>
            <w:r w:rsidRPr="003615B1">
              <w:rPr>
                <w:rFonts w:cstheme="minorHAnsi"/>
                <w:color w:val="000000"/>
              </w:rPr>
              <w:t>DAX</w:t>
            </w:r>
          </w:p>
        </w:tc>
        <w:tc>
          <w:tcPr>
            <w:tcW w:w="1466" w:type="dxa"/>
            <w:tcBorders>
              <w:top w:val="nil"/>
              <w:left w:val="nil"/>
              <w:bottom w:val="single" w:sz="4" w:space="0" w:color="auto"/>
              <w:right w:val="single" w:sz="4" w:space="0" w:color="auto"/>
            </w:tcBorders>
            <w:shd w:val="clear" w:color="auto" w:fill="auto"/>
            <w:noWrap/>
            <w:vAlign w:val="bottom"/>
            <w:hideMark/>
          </w:tcPr>
          <w:p w14:paraId="30EEB645" w14:textId="77777777" w:rsidR="003615B1" w:rsidRPr="003615B1" w:rsidRDefault="003615B1" w:rsidP="003615B1">
            <w:pPr>
              <w:rPr>
                <w:rFonts w:cstheme="minorHAnsi"/>
                <w:color w:val="000000"/>
              </w:rPr>
            </w:pPr>
            <w:r w:rsidRPr="003615B1">
              <w:rPr>
                <w:rFonts w:cstheme="minorHAnsi"/>
                <w:color w:val="000000"/>
              </w:rPr>
              <w:t> 1987-12-30</w:t>
            </w:r>
          </w:p>
        </w:tc>
        <w:tc>
          <w:tcPr>
            <w:tcW w:w="1466" w:type="dxa"/>
            <w:tcBorders>
              <w:top w:val="nil"/>
              <w:left w:val="nil"/>
              <w:bottom w:val="single" w:sz="4" w:space="0" w:color="auto"/>
              <w:right w:val="single" w:sz="4" w:space="0" w:color="auto"/>
            </w:tcBorders>
            <w:shd w:val="clear" w:color="auto" w:fill="auto"/>
            <w:noWrap/>
            <w:vAlign w:val="bottom"/>
            <w:hideMark/>
          </w:tcPr>
          <w:p w14:paraId="50D3344E" w14:textId="77777777" w:rsidR="003615B1" w:rsidRPr="003615B1" w:rsidRDefault="003615B1" w:rsidP="003615B1">
            <w:pPr>
              <w:rPr>
                <w:rFonts w:cstheme="minorHAnsi"/>
                <w:color w:val="000000"/>
              </w:rPr>
            </w:pPr>
            <w:r w:rsidRPr="003615B1">
              <w:rPr>
                <w:rFonts w:cstheme="minorHAnsi"/>
                <w:color w:val="000000"/>
              </w:rPr>
              <w:t>2018-02-22</w:t>
            </w:r>
          </w:p>
        </w:tc>
        <w:tc>
          <w:tcPr>
            <w:tcW w:w="2138" w:type="dxa"/>
            <w:tcBorders>
              <w:top w:val="nil"/>
              <w:left w:val="nil"/>
              <w:bottom w:val="single" w:sz="4" w:space="0" w:color="auto"/>
              <w:right w:val="single" w:sz="4" w:space="0" w:color="auto"/>
            </w:tcBorders>
            <w:shd w:val="clear" w:color="auto" w:fill="auto"/>
            <w:noWrap/>
            <w:vAlign w:val="center"/>
            <w:hideMark/>
          </w:tcPr>
          <w:p w14:paraId="518A79DD" w14:textId="77777777" w:rsidR="003615B1" w:rsidRPr="003615B1" w:rsidRDefault="003615B1" w:rsidP="002A679B">
            <w:pPr>
              <w:rPr>
                <w:rFonts w:cstheme="minorHAnsi"/>
                <w:color w:val="000000"/>
              </w:rPr>
            </w:pPr>
            <w:r w:rsidRPr="003615B1">
              <w:rPr>
                <w:rFonts w:cstheme="minorHAnsi"/>
                <w:color w:val="000000"/>
              </w:rPr>
              <w:t>^GDAXI.csv</w:t>
            </w:r>
          </w:p>
        </w:tc>
      </w:tr>
      <w:tr w:rsidR="003615B1" w:rsidRPr="002A679B" w14:paraId="4D119F49" w14:textId="77777777" w:rsidTr="002A679B">
        <w:trPr>
          <w:trHeight w:val="311"/>
        </w:trPr>
        <w:tc>
          <w:tcPr>
            <w:tcW w:w="2014" w:type="dxa"/>
            <w:tcBorders>
              <w:top w:val="nil"/>
              <w:left w:val="single" w:sz="4" w:space="0" w:color="auto"/>
              <w:bottom w:val="single" w:sz="4" w:space="0" w:color="auto"/>
              <w:right w:val="single" w:sz="4" w:space="0" w:color="auto"/>
            </w:tcBorders>
            <w:shd w:val="clear" w:color="auto" w:fill="auto"/>
            <w:noWrap/>
            <w:vAlign w:val="bottom"/>
            <w:hideMark/>
          </w:tcPr>
          <w:p w14:paraId="5657CE26" w14:textId="77777777" w:rsidR="003615B1" w:rsidRPr="003615B1" w:rsidRDefault="003615B1" w:rsidP="002A679B">
            <w:pPr>
              <w:rPr>
                <w:rFonts w:cstheme="minorHAnsi"/>
                <w:color w:val="000000"/>
              </w:rPr>
            </w:pPr>
            <w:r w:rsidRPr="003615B1">
              <w:rPr>
                <w:rFonts w:cstheme="minorHAnsi"/>
                <w:color w:val="000000"/>
              </w:rPr>
              <w:t>France</w:t>
            </w:r>
          </w:p>
        </w:tc>
        <w:tc>
          <w:tcPr>
            <w:tcW w:w="1939" w:type="dxa"/>
            <w:tcBorders>
              <w:top w:val="nil"/>
              <w:left w:val="nil"/>
              <w:bottom w:val="single" w:sz="4" w:space="0" w:color="auto"/>
              <w:right w:val="single" w:sz="4" w:space="0" w:color="auto"/>
            </w:tcBorders>
            <w:shd w:val="clear" w:color="auto" w:fill="auto"/>
            <w:noWrap/>
            <w:vAlign w:val="bottom"/>
            <w:hideMark/>
          </w:tcPr>
          <w:p w14:paraId="018C6A1D" w14:textId="77777777" w:rsidR="003615B1" w:rsidRPr="003615B1" w:rsidRDefault="003615B1" w:rsidP="002A679B">
            <w:pPr>
              <w:rPr>
                <w:rFonts w:cstheme="minorHAnsi"/>
                <w:color w:val="000000"/>
              </w:rPr>
            </w:pPr>
            <w:r w:rsidRPr="003615B1">
              <w:rPr>
                <w:rFonts w:cstheme="minorHAnsi"/>
                <w:color w:val="000000"/>
              </w:rPr>
              <w:t>CAC</w:t>
            </w:r>
          </w:p>
        </w:tc>
        <w:tc>
          <w:tcPr>
            <w:tcW w:w="1466" w:type="dxa"/>
            <w:tcBorders>
              <w:top w:val="nil"/>
              <w:left w:val="nil"/>
              <w:bottom w:val="single" w:sz="4" w:space="0" w:color="auto"/>
              <w:right w:val="single" w:sz="4" w:space="0" w:color="auto"/>
            </w:tcBorders>
            <w:shd w:val="clear" w:color="auto" w:fill="auto"/>
            <w:noWrap/>
            <w:vAlign w:val="bottom"/>
            <w:hideMark/>
          </w:tcPr>
          <w:p w14:paraId="02CF9A01" w14:textId="77777777" w:rsidR="003615B1" w:rsidRPr="003615B1" w:rsidRDefault="003615B1" w:rsidP="003615B1">
            <w:pPr>
              <w:rPr>
                <w:rFonts w:cstheme="minorHAnsi"/>
                <w:color w:val="000000"/>
              </w:rPr>
            </w:pPr>
            <w:r w:rsidRPr="003615B1">
              <w:rPr>
                <w:rFonts w:cstheme="minorHAnsi"/>
                <w:color w:val="000000"/>
              </w:rPr>
              <w:t> 1990-03-01</w:t>
            </w:r>
          </w:p>
        </w:tc>
        <w:tc>
          <w:tcPr>
            <w:tcW w:w="1466" w:type="dxa"/>
            <w:tcBorders>
              <w:top w:val="nil"/>
              <w:left w:val="nil"/>
              <w:bottom w:val="single" w:sz="4" w:space="0" w:color="auto"/>
              <w:right w:val="single" w:sz="4" w:space="0" w:color="auto"/>
            </w:tcBorders>
            <w:shd w:val="clear" w:color="auto" w:fill="auto"/>
            <w:noWrap/>
            <w:vAlign w:val="bottom"/>
            <w:hideMark/>
          </w:tcPr>
          <w:p w14:paraId="7153C611" w14:textId="77777777" w:rsidR="003615B1" w:rsidRPr="003615B1" w:rsidRDefault="003615B1" w:rsidP="003615B1">
            <w:pPr>
              <w:rPr>
                <w:rFonts w:cstheme="minorHAnsi"/>
                <w:color w:val="000000"/>
              </w:rPr>
            </w:pPr>
            <w:r w:rsidRPr="003615B1">
              <w:rPr>
                <w:rFonts w:cstheme="minorHAnsi"/>
                <w:color w:val="000000"/>
              </w:rPr>
              <w:t>2018-02-22</w:t>
            </w:r>
          </w:p>
        </w:tc>
        <w:tc>
          <w:tcPr>
            <w:tcW w:w="2138" w:type="dxa"/>
            <w:tcBorders>
              <w:top w:val="nil"/>
              <w:left w:val="nil"/>
              <w:bottom w:val="single" w:sz="4" w:space="0" w:color="auto"/>
              <w:right w:val="single" w:sz="4" w:space="0" w:color="auto"/>
            </w:tcBorders>
            <w:shd w:val="clear" w:color="auto" w:fill="auto"/>
            <w:noWrap/>
            <w:vAlign w:val="bottom"/>
            <w:hideMark/>
          </w:tcPr>
          <w:p w14:paraId="35E27E3C" w14:textId="77777777" w:rsidR="003615B1" w:rsidRPr="003615B1" w:rsidRDefault="003615B1" w:rsidP="002A679B">
            <w:pPr>
              <w:rPr>
                <w:rFonts w:cstheme="minorHAnsi"/>
                <w:color w:val="000000"/>
              </w:rPr>
            </w:pPr>
            <w:r w:rsidRPr="003615B1">
              <w:rPr>
                <w:rFonts w:cstheme="minorHAnsi"/>
                <w:color w:val="000000"/>
              </w:rPr>
              <w:t>^FCHI.csv</w:t>
            </w:r>
          </w:p>
        </w:tc>
      </w:tr>
    </w:tbl>
    <w:p w14:paraId="3818850B" w14:textId="77777777" w:rsidR="002A679B" w:rsidRDefault="002A679B">
      <w:pPr>
        <w:rPr>
          <w:rFonts w:cstheme="minorHAnsi"/>
          <w:color w:val="000000"/>
        </w:rPr>
      </w:pPr>
      <w:r>
        <w:rPr>
          <w:rFonts w:cstheme="minorHAnsi"/>
          <w:color w:val="000000"/>
        </w:rPr>
        <w:t>The data listed above are downloaded from Yahoo Finance.</w:t>
      </w:r>
    </w:p>
    <w:p w14:paraId="1FB4C274" w14:textId="77777777" w:rsidR="002A679B" w:rsidRPr="002A679B" w:rsidRDefault="002A679B">
      <w:pPr>
        <w:rPr>
          <w:rFonts w:cstheme="minorHAnsi"/>
          <w:color w:val="000000"/>
        </w:rPr>
      </w:pPr>
    </w:p>
    <w:p w14:paraId="74948C3E" w14:textId="77777777" w:rsidR="002A679B" w:rsidRDefault="002A679B">
      <w:pPr>
        <w:rPr>
          <w:rFonts w:cstheme="minorHAnsi"/>
          <w:color w:val="000000"/>
        </w:rPr>
      </w:pPr>
      <w:r>
        <w:rPr>
          <w:rFonts w:cstheme="minorHAnsi"/>
          <w:color w:val="000000"/>
        </w:rPr>
        <w:t xml:space="preserve">The risk-free rate used here is the </w:t>
      </w:r>
      <w:r w:rsidR="001B273A" w:rsidRPr="001B273A">
        <w:rPr>
          <w:rFonts w:cstheme="minorHAnsi"/>
          <w:color w:val="000000"/>
        </w:rPr>
        <w:t>3-Month Treasury Constant Maturity Rate</w:t>
      </w:r>
      <w:r w:rsidR="001B273A">
        <w:rPr>
          <w:rFonts w:cstheme="minorHAnsi"/>
          <w:color w:val="000000"/>
        </w:rPr>
        <w:t xml:space="preserve"> downloaded from FRED from 1982-01-04 to 2018-02-22.</w:t>
      </w:r>
    </w:p>
    <w:p w14:paraId="01D517E5" w14:textId="77777777" w:rsidR="001B273A" w:rsidRDefault="001B273A">
      <w:pPr>
        <w:rPr>
          <w:rFonts w:cstheme="minorHAnsi"/>
          <w:color w:val="000000"/>
        </w:rPr>
      </w:pPr>
    </w:p>
    <w:p w14:paraId="670258EC" w14:textId="77777777" w:rsidR="009571F3" w:rsidRDefault="001B273A">
      <w:pPr>
        <w:rPr>
          <w:rFonts w:cstheme="minorHAnsi"/>
          <w:color w:val="000000"/>
        </w:rPr>
      </w:pPr>
      <w:r>
        <w:rPr>
          <w:rFonts w:cstheme="minorHAnsi"/>
          <w:color w:val="000000"/>
        </w:rPr>
        <w:t xml:space="preserve">b) </w:t>
      </w:r>
    </w:p>
    <w:p w14:paraId="601A406F" w14:textId="77777777" w:rsidR="001B273A" w:rsidRPr="002A679B" w:rsidRDefault="009571F3" w:rsidP="009571F3">
      <w:pPr>
        <w:ind w:left="720"/>
        <w:rPr>
          <w:rFonts w:cstheme="minorHAnsi"/>
          <w:color w:val="000000"/>
        </w:rPr>
      </w:pPr>
      <w:r>
        <w:rPr>
          <w:rFonts w:cstheme="minorHAnsi"/>
          <w:color w:val="000000"/>
        </w:rPr>
        <w:t xml:space="preserve">a. </w:t>
      </w:r>
      <w:r w:rsidR="001B273A">
        <w:rPr>
          <w:rFonts w:cstheme="minorHAnsi"/>
          <w:color w:val="000000"/>
        </w:rPr>
        <w:t>The average daily excess returns for each day in [T-10, T+10] across the whole observation period for different country/district are plotted below:</w:t>
      </w:r>
    </w:p>
    <w:p w14:paraId="6A26C5FA" w14:textId="77777777" w:rsidR="009571F3" w:rsidRDefault="009571F3">
      <w:pPr>
        <w:rPr>
          <w:rFonts w:cstheme="minorHAnsi"/>
          <w:noProof/>
          <w:lang w:eastAsia="en-US"/>
        </w:rPr>
      </w:pPr>
    </w:p>
    <w:p w14:paraId="6C85F7FC" w14:textId="77777777" w:rsidR="009571F3" w:rsidRDefault="009571F3">
      <w:pPr>
        <w:rPr>
          <w:rFonts w:cstheme="minorHAnsi"/>
          <w:noProof/>
          <w:lang w:eastAsia="en-US"/>
        </w:rPr>
      </w:pPr>
    </w:p>
    <w:p w14:paraId="6A877B86" w14:textId="77777777" w:rsidR="002A679B" w:rsidRDefault="001B273A">
      <w:pPr>
        <w:rPr>
          <w:rFonts w:cstheme="minorHAnsi"/>
        </w:rPr>
      </w:pPr>
      <w:r>
        <w:rPr>
          <w:rFonts w:cstheme="minorHAnsi"/>
          <w:noProof/>
          <w:lang w:eastAsia="en-US"/>
        </w:rPr>
        <w:drawing>
          <wp:inline distT="0" distB="0" distL="0" distR="0" wp14:anchorId="2CC9EAEE" wp14:editId="59468A58">
            <wp:extent cx="5943600" cy="1778000"/>
            <wp:effectExtent l="0" t="0" r="0" b="0"/>
            <wp:docPr id="1" name="Picture 1" descr="Macintosh HD:Users:lixinyan:Dropbox:Berkeley2018Spring:230S:HW2_Data:plot:US_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xinyan:Dropbox:Berkeley2018Spring:230S:HW2_Data:plot:US_gener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78000"/>
                    </a:xfrm>
                    <a:prstGeom prst="rect">
                      <a:avLst/>
                    </a:prstGeom>
                    <a:noFill/>
                    <a:ln>
                      <a:noFill/>
                    </a:ln>
                  </pic:spPr>
                </pic:pic>
              </a:graphicData>
            </a:graphic>
          </wp:inline>
        </w:drawing>
      </w:r>
    </w:p>
    <w:p w14:paraId="6A9AC2FB" w14:textId="77777777" w:rsidR="009571F3" w:rsidRDefault="009571F3">
      <w:pPr>
        <w:rPr>
          <w:rFonts w:cstheme="minorHAnsi"/>
        </w:rPr>
      </w:pPr>
    </w:p>
    <w:p w14:paraId="4E370853" w14:textId="77777777" w:rsidR="009571F3" w:rsidRDefault="009571F3">
      <w:pPr>
        <w:rPr>
          <w:rFonts w:cstheme="minorHAnsi"/>
        </w:rPr>
      </w:pPr>
    </w:p>
    <w:p w14:paraId="30473CA2" w14:textId="77777777" w:rsidR="009571F3" w:rsidRDefault="009571F3">
      <w:pPr>
        <w:rPr>
          <w:rFonts w:cstheme="minorHAnsi"/>
        </w:rPr>
      </w:pPr>
      <w:r>
        <w:rPr>
          <w:rFonts w:cstheme="minorHAnsi"/>
          <w:noProof/>
          <w:lang w:eastAsia="en-US"/>
        </w:rPr>
        <w:drawing>
          <wp:inline distT="0" distB="0" distL="0" distR="0" wp14:anchorId="023642AA" wp14:editId="76A82E6C">
            <wp:extent cx="5943600" cy="1778000"/>
            <wp:effectExtent l="0" t="0" r="0" b="0"/>
            <wp:docPr id="3" name="Picture 3" descr="Macintosh HD:Users:lixinyan:Dropbox:Berkeley2018Spring:230S:HW2_Data:plot:Japan_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ixinyan:Dropbox:Berkeley2018Spring:230S:HW2_Data:plot:Japan_gener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78000"/>
                    </a:xfrm>
                    <a:prstGeom prst="rect">
                      <a:avLst/>
                    </a:prstGeom>
                    <a:noFill/>
                    <a:ln>
                      <a:noFill/>
                    </a:ln>
                  </pic:spPr>
                </pic:pic>
              </a:graphicData>
            </a:graphic>
          </wp:inline>
        </w:drawing>
      </w:r>
    </w:p>
    <w:p w14:paraId="37EDDC95" w14:textId="77777777" w:rsidR="009571F3" w:rsidRDefault="009571F3">
      <w:pPr>
        <w:rPr>
          <w:rFonts w:cstheme="minorHAnsi"/>
        </w:rPr>
      </w:pPr>
    </w:p>
    <w:p w14:paraId="3B340FC7" w14:textId="77777777" w:rsidR="009571F3" w:rsidRDefault="009571F3">
      <w:pPr>
        <w:rPr>
          <w:rFonts w:cstheme="minorHAnsi"/>
        </w:rPr>
      </w:pPr>
      <w:r>
        <w:rPr>
          <w:rFonts w:cstheme="minorHAnsi"/>
          <w:noProof/>
          <w:lang w:eastAsia="en-US"/>
        </w:rPr>
        <w:lastRenderedPageBreak/>
        <w:drawing>
          <wp:inline distT="0" distB="0" distL="0" distR="0" wp14:anchorId="2D09EE0F" wp14:editId="70FE7390">
            <wp:extent cx="5943600" cy="1778000"/>
            <wp:effectExtent l="0" t="0" r="0" b="0"/>
            <wp:docPr id="4" name="Picture 4" descr="Macintosh HD:Users:lixinyan:Dropbox:Berkeley2018Spring:230S:HW2_Data:plot:Europe_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ixinyan:Dropbox:Berkeley2018Spring:230S:HW2_Data:plot:Europe_gener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78000"/>
                    </a:xfrm>
                    <a:prstGeom prst="rect">
                      <a:avLst/>
                    </a:prstGeom>
                    <a:noFill/>
                    <a:ln>
                      <a:noFill/>
                    </a:ln>
                  </pic:spPr>
                </pic:pic>
              </a:graphicData>
            </a:graphic>
          </wp:inline>
        </w:drawing>
      </w:r>
    </w:p>
    <w:p w14:paraId="574E225A" w14:textId="77777777" w:rsidR="009571F3" w:rsidRDefault="009571F3">
      <w:pPr>
        <w:rPr>
          <w:rFonts w:cstheme="minorHAnsi"/>
        </w:rPr>
      </w:pPr>
    </w:p>
    <w:p w14:paraId="6B88C776" w14:textId="77777777" w:rsidR="009571F3" w:rsidRDefault="009571F3">
      <w:pPr>
        <w:rPr>
          <w:rFonts w:cstheme="minorHAnsi"/>
        </w:rPr>
      </w:pPr>
    </w:p>
    <w:p w14:paraId="7958E1DD" w14:textId="77777777" w:rsidR="009571F3" w:rsidRDefault="009571F3">
      <w:pPr>
        <w:rPr>
          <w:rFonts w:cstheme="minorHAnsi"/>
        </w:rPr>
      </w:pPr>
      <w:r>
        <w:rPr>
          <w:rFonts w:cstheme="minorHAnsi"/>
          <w:noProof/>
          <w:lang w:eastAsia="en-US"/>
        </w:rPr>
        <w:drawing>
          <wp:inline distT="0" distB="0" distL="0" distR="0" wp14:anchorId="6CA44B67" wp14:editId="75EDA46D">
            <wp:extent cx="5943600" cy="1778000"/>
            <wp:effectExtent l="0" t="0" r="0" b="0"/>
            <wp:docPr id="5" name="Picture 5" descr="Macintosh HD:Users:lixinyan:Dropbox:Berkeley2018Spring:230S:HW2_Data:plot:German_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lixinyan:Dropbox:Berkeley2018Spring:230S:HW2_Data:plot:German_gener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78000"/>
                    </a:xfrm>
                    <a:prstGeom prst="rect">
                      <a:avLst/>
                    </a:prstGeom>
                    <a:noFill/>
                    <a:ln>
                      <a:noFill/>
                    </a:ln>
                  </pic:spPr>
                </pic:pic>
              </a:graphicData>
            </a:graphic>
          </wp:inline>
        </w:drawing>
      </w:r>
    </w:p>
    <w:p w14:paraId="61DDDFFB" w14:textId="77777777" w:rsidR="009571F3" w:rsidRDefault="009571F3">
      <w:pPr>
        <w:rPr>
          <w:rFonts w:cstheme="minorHAnsi"/>
        </w:rPr>
      </w:pPr>
    </w:p>
    <w:p w14:paraId="17E69466" w14:textId="77777777" w:rsidR="009571F3" w:rsidRDefault="009571F3">
      <w:pPr>
        <w:rPr>
          <w:rFonts w:cstheme="minorHAnsi"/>
        </w:rPr>
      </w:pPr>
    </w:p>
    <w:p w14:paraId="03D7DC55" w14:textId="77777777" w:rsidR="009571F3" w:rsidRDefault="009571F3">
      <w:pPr>
        <w:rPr>
          <w:rFonts w:cstheme="minorHAnsi"/>
        </w:rPr>
      </w:pPr>
      <w:r>
        <w:rPr>
          <w:rFonts w:cstheme="minorHAnsi"/>
          <w:noProof/>
          <w:lang w:eastAsia="en-US"/>
        </w:rPr>
        <w:drawing>
          <wp:inline distT="0" distB="0" distL="0" distR="0" wp14:anchorId="38C9ED19" wp14:editId="3599A988">
            <wp:extent cx="5943600" cy="1778000"/>
            <wp:effectExtent l="0" t="0" r="0" b="0"/>
            <wp:docPr id="6" name="Picture 6" descr="Macintosh HD:Users:lixinyan:Dropbox:Berkeley2018Spring:230S:HW2_Data:plot:France_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lixinyan:Dropbox:Berkeley2018Spring:230S:HW2_Data:plot:France_gener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78000"/>
                    </a:xfrm>
                    <a:prstGeom prst="rect">
                      <a:avLst/>
                    </a:prstGeom>
                    <a:noFill/>
                    <a:ln>
                      <a:noFill/>
                    </a:ln>
                  </pic:spPr>
                </pic:pic>
              </a:graphicData>
            </a:graphic>
          </wp:inline>
        </w:drawing>
      </w:r>
    </w:p>
    <w:p w14:paraId="0B2C631A" w14:textId="77777777" w:rsidR="009571F3" w:rsidRDefault="009571F3">
      <w:pPr>
        <w:rPr>
          <w:rFonts w:cstheme="minorHAnsi"/>
        </w:rPr>
      </w:pPr>
    </w:p>
    <w:p w14:paraId="40E29517" w14:textId="77777777" w:rsidR="009571F3" w:rsidRDefault="009571F3">
      <w:pPr>
        <w:rPr>
          <w:rFonts w:cstheme="minorHAnsi"/>
        </w:rPr>
      </w:pPr>
      <w:r>
        <w:rPr>
          <w:rFonts w:cstheme="minorHAnsi"/>
        </w:rPr>
        <w:t>From those plots, we could observe that, for most of the indices, the daily returns during [T-4, T+1] are positive. But if we plot the average daily returns by year, this effect is not that significant.</w:t>
      </w:r>
    </w:p>
    <w:p w14:paraId="4F7E797B" w14:textId="77777777" w:rsidR="009571F3" w:rsidRDefault="009571F3" w:rsidP="009571F3">
      <w:pPr>
        <w:rPr>
          <w:rFonts w:cstheme="minorHAnsi"/>
        </w:rPr>
      </w:pPr>
    </w:p>
    <w:p w14:paraId="420753A0" w14:textId="77777777" w:rsidR="009571F3" w:rsidRDefault="009571F3" w:rsidP="009571F3">
      <w:pPr>
        <w:ind w:firstLine="720"/>
        <w:rPr>
          <w:rFonts w:cstheme="minorHAnsi"/>
        </w:rPr>
      </w:pPr>
      <w:r>
        <w:rPr>
          <w:rFonts w:cstheme="minorHAnsi"/>
        </w:rPr>
        <w:t xml:space="preserve">b. The effect could be caused by the </w:t>
      </w:r>
      <w:r w:rsidR="001507A9">
        <w:rPr>
          <w:rFonts w:cstheme="minorHAnsi"/>
        </w:rPr>
        <w:t xml:space="preserve">increase in the distribution and the immediate </w:t>
      </w:r>
      <w:r>
        <w:rPr>
          <w:rFonts w:cstheme="minorHAnsi"/>
        </w:rPr>
        <w:t xml:space="preserve">reinvestment of the pension fund. </w:t>
      </w:r>
      <w:r w:rsidR="001507A9">
        <w:rPr>
          <w:rFonts w:cstheme="minorHAnsi"/>
        </w:rPr>
        <w:t xml:space="preserve">At the end of each month, pension fund might receive the distributions and then invest those distributions into the indices. As a result, the demand of the indices </w:t>
      </w:r>
      <w:r>
        <w:rPr>
          <w:rFonts w:cstheme="minorHAnsi"/>
        </w:rPr>
        <w:t>increase</w:t>
      </w:r>
      <w:r w:rsidR="001507A9">
        <w:rPr>
          <w:rFonts w:cstheme="minorHAnsi"/>
        </w:rPr>
        <w:t>s</w:t>
      </w:r>
      <w:r>
        <w:rPr>
          <w:rFonts w:cstheme="minorHAnsi"/>
        </w:rPr>
        <w:t xml:space="preserve"> and hence causes the increase in the</w:t>
      </w:r>
      <w:r w:rsidR="001507A9">
        <w:rPr>
          <w:rFonts w:cstheme="minorHAnsi"/>
        </w:rPr>
        <w:t xml:space="preserve"> indices and the positive returns.</w:t>
      </w:r>
    </w:p>
    <w:p w14:paraId="2E200934" w14:textId="77777777" w:rsidR="001507A9" w:rsidRDefault="001507A9" w:rsidP="009571F3">
      <w:pPr>
        <w:ind w:firstLine="720"/>
        <w:rPr>
          <w:rFonts w:cstheme="minorHAnsi"/>
        </w:rPr>
      </w:pPr>
    </w:p>
    <w:p w14:paraId="1E0DCED5" w14:textId="77777777" w:rsidR="001507A9" w:rsidRDefault="001507A9" w:rsidP="009571F3">
      <w:pPr>
        <w:ind w:firstLine="720"/>
        <w:rPr>
          <w:rFonts w:cstheme="minorHAnsi"/>
        </w:rPr>
      </w:pPr>
      <w:r>
        <w:rPr>
          <w:rFonts w:cstheme="minorHAnsi"/>
        </w:rPr>
        <w:t xml:space="preserve">c. To test the interpretation, we could find an index that is not favored by the pension fund and study the historical returns of this index. If this index does not have the turn of the </w:t>
      </w:r>
      <w:r>
        <w:rPr>
          <w:rFonts w:cstheme="minorHAnsi"/>
        </w:rPr>
        <w:lastRenderedPageBreak/>
        <w:t>month effect, we might consider the interpretation as a reasonable guess. But if this index also has the turn of the month effect, we might need to find other interpretations.</w:t>
      </w:r>
    </w:p>
    <w:p w14:paraId="12C48B09" w14:textId="77777777" w:rsidR="001507A9" w:rsidRDefault="001507A9" w:rsidP="001507A9">
      <w:pPr>
        <w:rPr>
          <w:rFonts w:cstheme="minorHAnsi"/>
        </w:rPr>
      </w:pPr>
    </w:p>
    <w:p w14:paraId="1916A0F4" w14:textId="77777777" w:rsidR="001507A9" w:rsidRDefault="001507A9" w:rsidP="001507A9">
      <w:pPr>
        <w:rPr>
          <w:rFonts w:cstheme="minorHAnsi"/>
        </w:rPr>
      </w:pPr>
      <w:r>
        <w:rPr>
          <w:rFonts w:cstheme="minorHAnsi"/>
        </w:rPr>
        <w:t>c)  The trading rule could be, buy the equity index, which has the turn of the month effect. on T-4 and sell it at the closing time on T+1. By doing so, we could collect the positive return from T-3 to T+1.</w:t>
      </w:r>
    </w:p>
    <w:p w14:paraId="14296B76" w14:textId="77777777" w:rsidR="009571F3" w:rsidRDefault="009571F3">
      <w:pPr>
        <w:rPr>
          <w:rFonts w:cstheme="minorHAnsi"/>
        </w:rPr>
      </w:pPr>
    </w:p>
    <w:p w14:paraId="140C57E6" w14:textId="77777777" w:rsidR="009571F3" w:rsidRDefault="003615B1">
      <w:pPr>
        <w:rPr>
          <w:rFonts w:cstheme="minorHAnsi"/>
        </w:rPr>
      </w:pPr>
      <w:r>
        <w:rPr>
          <w:rFonts w:cstheme="minorHAnsi"/>
        </w:rPr>
        <w:t>Below are the sharp ratio</w:t>
      </w:r>
      <w:r w:rsidR="00BC49DC">
        <w:rPr>
          <w:rFonts w:cstheme="minorHAnsi"/>
        </w:rPr>
        <w:t>s</w:t>
      </w:r>
      <w:r>
        <w:rPr>
          <w:rFonts w:cstheme="minorHAnsi"/>
        </w:rPr>
        <w:t xml:space="preserve"> for the trading r</w:t>
      </w:r>
      <w:r w:rsidR="00BC49DC">
        <w:rPr>
          <w:rFonts w:cstheme="minorHAnsi"/>
        </w:rPr>
        <w:t>ule in each country or district. The sharp ratio is the annualized</w:t>
      </w:r>
      <w:r w:rsidR="00187AC9">
        <w:rPr>
          <w:rFonts w:cstheme="minorHAnsi"/>
        </w:rPr>
        <w:t xml:space="preserve"> Sharp Ratio. Since the trading rule is executed on a monthly basis, the annualized Sharp Ratio could be calculated as:</w:t>
      </w:r>
      <m:oMath>
        <m:r>
          <w:rPr>
            <w:rFonts w:ascii="Cambria Math" w:hAnsi="Cambria Math" w:cstheme="minorHAnsi"/>
          </w:rPr>
          <m:t>Ann SR=</m:t>
        </m:r>
        <m:rad>
          <m:radPr>
            <m:degHide m:val="1"/>
            <m:ctrlPr>
              <w:rPr>
                <w:rFonts w:ascii="Cambria Math" w:hAnsi="Cambria Math" w:cstheme="minorHAnsi"/>
                <w:i/>
              </w:rPr>
            </m:ctrlPr>
          </m:radPr>
          <m:deg/>
          <m:e>
            <m:r>
              <w:rPr>
                <w:rFonts w:ascii="Cambria Math" w:hAnsi="Cambria Math" w:cstheme="minorHAnsi"/>
              </w:rPr>
              <m:t>12</m:t>
            </m:r>
          </m:e>
        </m:rad>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mean(r</m:t>
                </m:r>
              </m:e>
              <m:sub>
                <m:r>
                  <w:rPr>
                    <w:rFonts w:ascii="Cambria Math" w:hAnsi="Cambria Math" w:cstheme="minorHAnsi"/>
                  </w:rPr>
                  <m:t>td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f</m:t>
                </m:r>
              </m:sub>
            </m:sSub>
            <m:r>
              <w:rPr>
                <w:rFonts w:ascii="Cambria Math" w:hAnsi="Cambria Math" w:cstheme="minorHAnsi"/>
              </w:rPr>
              <m:t>)</m:t>
            </m:r>
          </m:num>
          <m:den>
            <m:sSub>
              <m:sSubPr>
                <m:ctrlPr>
                  <w:rPr>
                    <w:rFonts w:ascii="Cambria Math" w:hAnsi="Cambria Math" w:cstheme="minorHAnsi"/>
                    <w:i/>
                  </w:rPr>
                </m:ctrlPr>
              </m:sSubPr>
              <m:e>
                <m:r>
                  <w:rPr>
                    <w:rFonts w:ascii="Cambria Math" w:hAnsi="Cambria Math" w:cstheme="minorHAnsi"/>
                  </w:rPr>
                  <m:t>sd</m:t>
                </m:r>
                <m:r>
                  <w:rPr>
                    <w:rFonts w:ascii="Cambria Math" w:hAnsi="Cambria Math" w:cstheme="minorHAnsi"/>
                  </w:rPr>
                  <m:t>(r</m:t>
                </m:r>
              </m:e>
              <m:sub>
                <m:r>
                  <w:rPr>
                    <w:rFonts w:ascii="Cambria Math" w:hAnsi="Cambria Math" w:cstheme="minorHAnsi"/>
                  </w:rPr>
                  <m:t>td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f</m:t>
                </m:r>
              </m:sub>
            </m:sSub>
            <m:r>
              <w:rPr>
                <w:rFonts w:ascii="Cambria Math" w:hAnsi="Cambria Math" w:cstheme="minorHAnsi"/>
              </w:rPr>
              <m:t>)</m:t>
            </m:r>
          </m:den>
        </m:f>
      </m:oMath>
    </w:p>
    <w:p w14:paraId="3894D7B7" w14:textId="77777777" w:rsidR="00187AC9" w:rsidRDefault="00187AC9">
      <w:pPr>
        <w:rPr>
          <w:rFonts w:cstheme="minorHAnsi"/>
        </w:rPr>
      </w:pPr>
    </w:p>
    <w:p w14:paraId="4124540F" w14:textId="77777777" w:rsidR="003615B1" w:rsidRDefault="00187AC9">
      <w:pPr>
        <w:rPr>
          <w:rFonts w:cstheme="minorHAnsi"/>
        </w:rPr>
      </w:p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td</m:t>
            </m:r>
          </m:sub>
        </m:sSub>
      </m:oMath>
      <w:r>
        <w:rPr>
          <w:rFonts w:cstheme="minorHAnsi"/>
        </w:rPr>
        <w:t xml:space="preserve"> is the return for the trading rule in each month.</w:t>
      </w:r>
    </w:p>
    <w:p w14:paraId="29B98F5A" w14:textId="77777777" w:rsidR="00187AC9" w:rsidRDefault="00187AC9">
      <w:pPr>
        <w:rPr>
          <w:rFonts w:cstheme="minorHAnsi"/>
        </w:rPr>
      </w:pPr>
    </w:p>
    <w:tbl>
      <w:tblPr>
        <w:tblW w:w="10113" w:type="dxa"/>
        <w:tblInd w:w="93" w:type="dxa"/>
        <w:tblLook w:val="04A0" w:firstRow="1" w:lastRow="0" w:firstColumn="1" w:lastColumn="0" w:noHBand="0" w:noVBand="1"/>
      </w:tblPr>
      <w:tblGrid>
        <w:gridCol w:w="2443"/>
        <w:gridCol w:w="2348"/>
        <w:gridCol w:w="1774"/>
        <w:gridCol w:w="1774"/>
        <w:gridCol w:w="1774"/>
      </w:tblGrid>
      <w:tr w:rsidR="00BC49DC" w:rsidRPr="00BC49DC" w14:paraId="511DE7BE" w14:textId="77777777" w:rsidTr="00BC49DC">
        <w:trPr>
          <w:trHeight w:val="263"/>
        </w:trPr>
        <w:tc>
          <w:tcPr>
            <w:tcW w:w="24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D499C" w14:textId="77777777" w:rsidR="00BC49DC" w:rsidRPr="00BC49DC" w:rsidRDefault="00BC49DC" w:rsidP="00BC49DC">
            <w:pPr>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Country/District</w:t>
            </w:r>
          </w:p>
        </w:tc>
        <w:tc>
          <w:tcPr>
            <w:tcW w:w="2348" w:type="dxa"/>
            <w:tcBorders>
              <w:top w:val="single" w:sz="4" w:space="0" w:color="auto"/>
              <w:left w:val="nil"/>
              <w:bottom w:val="single" w:sz="4" w:space="0" w:color="auto"/>
              <w:right w:val="single" w:sz="4" w:space="0" w:color="auto"/>
            </w:tcBorders>
            <w:shd w:val="clear" w:color="auto" w:fill="auto"/>
            <w:noWrap/>
            <w:vAlign w:val="center"/>
            <w:hideMark/>
          </w:tcPr>
          <w:p w14:paraId="4EBDBE50" w14:textId="77777777" w:rsidR="00BC49DC" w:rsidRPr="00BC49DC" w:rsidRDefault="00BC49DC" w:rsidP="00BC49DC">
            <w:pPr>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Index Name</w:t>
            </w:r>
          </w:p>
        </w:tc>
        <w:tc>
          <w:tcPr>
            <w:tcW w:w="1774" w:type="dxa"/>
            <w:tcBorders>
              <w:top w:val="single" w:sz="4" w:space="0" w:color="auto"/>
              <w:left w:val="nil"/>
              <w:bottom w:val="single" w:sz="4" w:space="0" w:color="auto"/>
              <w:right w:val="single" w:sz="4" w:space="0" w:color="auto"/>
            </w:tcBorders>
            <w:shd w:val="clear" w:color="auto" w:fill="auto"/>
            <w:noWrap/>
            <w:vAlign w:val="center"/>
            <w:hideMark/>
          </w:tcPr>
          <w:p w14:paraId="603AD854" w14:textId="77777777" w:rsidR="00BC49DC" w:rsidRPr="00BC49DC" w:rsidRDefault="00BC49DC" w:rsidP="00BC49DC">
            <w:pPr>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Start Date</w:t>
            </w:r>
          </w:p>
        </w:tc>
        <w:tc>
          <w:tcPr>
            <w:tcW w:w="1774" w:type="dxa"/>
            <w:tcBorders>
              <w:top w:val="single" w:sz="4" w:space="0" w:color="auto"/>
              <w:left w:val="nil"/>
              <w:bottom w:val="single" w:sz="4" w:space="0" w:color="auto"/>
              <w:right w:val="single" w:sz="4" w:space="0" w:color="auto"/>
            </w:tcBorders>
            <w:shd w:val="clear" w:color="auto" w:fill="auto"/>
            <w:noWrap/>
            <w:vAlign w:val="center"/>
            <w:hideMark/>
          </w:tcPr>
          <w:p w14:paraId="4C8A037A" w14:textId="77777777" w:rsidR="00BC49DC" w:rsidRPr="00BC49DC" w:rsidRDefault="00BC49DC" w:rsidP="00BC49DC">
            <w:pPr>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End date</w:t>
            </w:r>
          </w:p>
        </w:tc>
        <w:tc>
          <w:tcPr>
            <w:tcW w:w="1774" w:type="dxa"/>
            <w:tcBorders>
              <w:top w:val="single" w:sz="4" w:space="0" w:color="auto"/>
              <w:left w:val="nil"/>
              <w:bottom w:val="single" w:sz="4" w:space="0" w:color="auto"/>
              <w:right w:val="single" w:sz="4" w:space="0" w:color="auto"/>
            </w:tcBorders>
            <w:shd w:val="clear" w:color="auto" w:fill="auto"/>
            <w:noWrap/>
            <w:vAlign w:val="center"/>
            <w:hideMark/>
          </w:tcPr>
          <w:p w14:paraId="65B44DEA" w14:textId="77777777" w:rsidR="00BC49DC" w:rsidRPr="00BC49DC" w:rsidRDefault="00BC49DC" w:rsidP="00BC49DC">
            <w:pPr>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Sharp Ratio</w:t>
            </w:r>
          </w:p>
        </w:tc>
      </w:tr>
      <w:tr w:rsidR="00BC49DC" w:rsidRPr="00BC49DC" w14:paraId="6B439CFA" w14:textId="77777777" w:rsidTr="00BC49DC">
        <w:trPr>
          <w:trHeight w:val="263"/>
        </w:trPr>
        <w:tc>
          <w:tcPr>
            <w:tcW w:w="2443" w:type="dxa"/>
            <w:tcBorders>
              <w:top w:val="nil"/>
              <w:left w:val="single" w:sz="4" w:space="0" w:color="auto"/>
              <w:bottom w:val="single" w:sz="4" w:space="0" w:color="auto"/>
              <w:right w:val="single" w:sz="4" w:space="0" w:color="auto"/>
            </w:tcBorders>
            <w:shd w:val="clear" w:color="auto" w:fill="auto"/>
            <w:noWrap/>
            <w:vAlign w:val="center"/>
            <w:hideMark/>
          </w:tcPr>
          <w:p w14:paraId="035046C8" w14:textId="77777777" w:rsidR="00BC49DC" w:rsidRPr="00BC49DC" w:rsidRDefault="00BC49DC" w:rsidP="00BC49DC">
            <w:pPr>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US</w:t>
            </w:r>
          </w:p>
        </w:tc>
        <w:tc>
          <w:tcPr>
            <w:tcW w:w="2348" w:type="dxa"/>
            <w:tcBorders>
              <w:top w:val="nil"/>
              <w:left w:val="nil"/>
              <w:bottom w:val="single" w:sz="4" w:space="0" w:color="auto"/>
              <w:right w:val="single" w:sz="4" w:space="0" w:color="auto"/>
            </w:tcBorders>
            <w:shd w:val="clear" w:color="auto" w:fill="auto"/>
            <w:noWrap/>
            <w:vAlign w:val="center"/>
            <w:hideMark/>
          </w:tcPr>
          <w:p w14:paraId="39B82991" w14:textId="77777777" w:rsidR="00BC49DC" w:rsidRPr="00BC49DC" w:rsidRDefault="00BC49DC" w:rsidP="00BC49DC">
            <w:pPr>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S&amp;P500</w:t>
            </w:r>
          </w:p>
        </w:tc>
        <w:tc>
          <w:tcPr>
            <w:tcW w:w="1774" w:type="dxa"/>
            <w:tcBorders>
              <w:top w:val="nil"/>
              <w:left w:val="nil"/>
              <w:bottom w:val="single" w:sz="4" w:space="0" w:color="auto"/>
              <w:right w:val="single" w:sz="4" w:space="0" w:color="auto"/>
            </w:tcBorders>
            <w:shd w:val="clear" w:color="auto" w:fill="auto"/>
            <w:noWrap/>
            <w:vAlign w:val="center"/>
            <w:hideMark/>
          </w:tcPr>
          <w:p w14:paraId="691F8162" w14:textId="77777777" w:rsidR="00BC49DC" w:rsidRPr="00BC49DC" w:rsidRDefault="00BC49DC" w:rsidP="00BC49DC">
            <w:pPr>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 1980-01-02</w:t>
            </w:r>
          </w:p>
        </w:tc>
        <w:tc>
          <w:tcPr>
            <w:tcW w:w="1774" w:type="dxa"/>
            <w:tcBorders>
              <w:top w:val="nil"/>
              <w:left w:val="nil"/>
              <w:bottom w:val="single" w:sz="4" w:space="0" w:color="auto"/>
              <w:right w:val="single" w:sz="4" w:space="0" w:color="auto"/>
            </w:tcBorders>
            <w:shd w:val="clear" w:color="auto" w:fill="auto"/>
            <w:noWrap/>
            <w:vAlign w:val="center"/>
            <w:hideMark/>
          </w:tcPr>
          <w:p w14:paraId="78B3780C" w14:textId="77777777" w:rsidR="00BC49DC" w:rsidRPr="00BC49DC" w:rsidRDefault="00BC49DC" w:rsidP="00BC49DC">
            <w:pPr>
              <w:jc w:val="right"/>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2/21/18</w:t>
            </w:r>
          </w:p>
        </w:tc>
        <w:tc>
          <w:tcPr>
            <w:tcW w:w="1774" w:type="dxa"/>
            <w:tcBorders>
              <w:top w:val="nil"/>
              <w:left w:val="nil"/>
              <w:bottom w:val="single" w:sz="4" w:space="0" w:color="auto"/>
              <w:right w:val="single" w:sz="4" w:space="0" w:color="auto"/>
            </w:tcBorders>
            <w:shd w:val="clear" w:color="auto" w:fill="auto"/>
            <w:noWrap/>
            <w:vAlign w:val="center"/>
            <w:hideMark/>
          </w:tcPr>
          <w:p w14:paraId="18115055" w14:textId="77777777" w:rsidR="00BC49DC" w:rsidRPr="00BC49DC" w:rsidRDefault="00BC49DC" w:rsidP="00BC49DC">
            <w:pPr>
              <w:jc w:val="right"/>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0.7356</w:t>
            </w:r>
          </w:p>
        </w:tc>
      </w:tr>
      <w:tr w:rsidR="00BC49DC" w:rsidRPr="00BC49DC" w14:paraId="367F1011" w14:textId="77777777" w:rsidTr="00BC49DC">
        <w:trPr>
          <w:trHeight w:val="263"/>
        </w:trPr>
        <w:tc>
          <w:tcPr>
            <w:tcW w:w="2443" w:type="dxa"/>
            <w:tcBorders>
              <w:top w:val="nil"/>
              <w:left w:val="single" w:sz="4" w:space="0" w:color="auto"/>
              <w:bottom w:val="single" w:sz="4" w:space="0" w:color="auto"/>
              <w:right w:val="single" w:sz="4" w:space="0" w:color="auto"/>
            </w:tcBorders>
            <w:shd w:val="clear" w:color="auto" w:fill="auto"/>
            <w:noWrap/>
            <w:vAlign w:val="center"/>
            <w:hideMark/>
          </w:tcPr>
          <w:p w14:paraId="1BEA0355" w14:textId="77777777" w:rsidR="00BC49DC" w:rsidRPr="00BC49DC" w:rsidRDefault="00BC49DC" w:rsidP="00BC49DC">
            <w:pPr>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Japan</w:t>
            </w:r>
          </w:p>
        </w:tc>
        <w:tc>
          <w:tcPr>
            <w:tcW w:w="2348" w:type="dxa"/>
            <w:tcBorders>
              <w:top w:val="nil"/>
              <w:left w:val="nil"/>
              <w:bottom w:val="single" w:sz="4" w:space="0" w:color="auto"/>
              <w:right w:val="single" w:sz="4" w:space="0" w:color="auto"/>
            </w:tcBorders>
            <w:shd w:val="clear" w:color="auto" w:fill="auto"/>
            <w:noWrap/>
            <w:vAlign w:val="center"/>
            <w:hideMark/>
          </w:tcPr>
          <w:p w14:paraId="7B8E858E" w14:textId="77777777" w:rsidR="00BC49DC" w:rsidRPr="00BC49DC" w:rsidRDefault="00BC49DC" w:rsidP="00BC49DC">
            <w:pPr>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Nikkei 225</w:t>
            </w:r>
          </w:p>
        </w:tc>
        <w:tc>
          <w:tcPr>
            <w:tcW w:w="1774" w:type="dxa"/>
            <w:tcBorders>
              <w:top w:val="nil"/>
              <w:left w:val="nil"/>
              <w:bottom w:val="single" w:sz="4" w:space="0" w:color="auto"/>
              <w:right w:val="single" w:sz="4" w:space="0" w:color="auto"/>
            </w:tcBorders>
            <w:shd w:val="clear" w:color="auto" w:fill="auto"/>
            <w:noWrap/>
            <w:vAlign w:val="center"/>
            <w:hideMark/>
          </w:tcPr>
          <w:p w14:paraId="25A682D6" w14:textId="77777777" w:rsidR="00BC49DC" w:rsidRPr="00BC49DC" w:rsidRDefault="00BC49DC" w:rsidP="00BC49DC">
            <w:pPr>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 1980-01-02</w:t>
            </w:r>
          </w:p>
        </w:tc>
        <w:tc>
          <w:tcPr>
            <w:tcW w:w="1774" w:type="dxa"/>
            <w:tcBorders>
              <w:top w:val="nil"/>
              <w:left w:val="nil"/>
              <w:bottom w:val="single" w:sz="4" w:space="0" w:color="auto"/>
              <w:right w:val="single" w:sz="4" w:space="0" w:color="auto"/>
            </w:tcBorders>
            <w:shd w:val="clear" w:color="auto" w:fill="auto"/>
            <w:noWrap/>
            <w:vAlign w:val="center"/>
            <w:hideMark/>
          </w:tcPr>
          <w:p w14:paraId="7FF61518" w14:textId="77777777" w:rsidR="00BC49DC" w:rsidRPr="00BC49DC" w:rsidRDefault="00BC49DC" w:rsidP="00BC49DC">
            <w:pPr>
              <w:jc w:val="right"/>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2/22/18</w:t>
            </w:r>
          </w:p>
        </w:tc>
        <w:tc>
          <w:tcPr>
            <w:tcW w:w="1774" w:type="dxa"/>
            <w:tcBorders>
              <w:top w:val="nil"/>
              <w:left w:val="nil"/>
              <w:bottom w:val="single" w:sz="4" w:space="0" w:color="auto"/>
              <w:right w:val="single" w:sz="4" w:space="0" w:color="auto"/>
            </w:tcBorders>
            <w:shd w:val="clear" w:color="auto" w:fill="auto"/>
            <w:noWrap/>
            <w:vAlign w:val="center"/>
            <w:hideMark/>
          </w:tcPr>
          <w:p w14:paraId="1E943341" w14:textId="77777777" w:rsidR="00BC49DC" w:rsidRPr="00BC49DC" w:rsidRDefault="00BC49DC" w:rsidP="00BC49DC">
            <w:pPr>
              <w:jc w:val="right"/>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0.3359</w:t>
            </w:r>
          </w:p>
        </w:tc>
      </w:tr>
      <w:tr w:rsidR="00BC49DC" w:rsidRPr="00BC49DC" w14:paraId="39AF23EB" w14:textId="77777777" w:rsidTr="00BC49DC">
        <w:trPr>
          <w:trHeight w:val="263"/>
        </w:trPr>
        <w:tc>
          <w:tcPr>
            <w:tcW w:w="2443" w:type="dxa"/>
            <w:tcBorders>
              <w:top w:val="nil"/>
              <w:left w:val="single" w:sz="4" w:space="0" w:color="auto"/>
              <w:bottom w:val="single" w:sz="4" w:space="0" w:color="auto"/>
              <w:right w:val="single" w:sz="4" w:space="0" w:color="auto"/>
            </w:tcBorders>
            <w:shd w:val="clear" w:color="auto" w:fill="auto"/>
            <w:noWrap/>
            <w:vAlign w:val="center"/>
            <w:hideMark/>
          </w:tcPr>
          <w:p w14:paraId="439832A5" w14:textId="77777777" w:rsidR="00BC49DC" w:rsidRPr="00BC49DC" w:rsidRDefault="00BC49DC" w:rsidP="00BC49DC">
            <w:pPr>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Europe</w:t>
            </w:r>
          </w:p>
        </w:tc>
        <w:tc>
          <w:tcPr>
            <w:tcW w:w="2348" w:type="dxa"/>
            <w:tcBorders>
              <w:top w:val="nil"/>
              <w:left w:val="nil"/>
              <w:bottom w:val="single" w:sz="4" w:space="0" w:color="auto"/>
              <w:right w:val="single" w:sz="4" w:space="0" w:color="auto"/>
            </w:tcBorders>
            <w:shd w:val="clear" w:color="auto" w:fill="auto"/>
            <w:noWrap/>
            <w:vAlign w:val="center"/>
            <w:hideMark/>
          </w:tcPr>
          <w:p w14:paraId="40DBAEF2" w14:textId="77777777" w:rsidR="00BC49DC" w:rsidRPr="00BC49DC" w:rsidRDefault="00BC49DC" w:rsidP="00BC49DC">
            <w:pPr>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ESTX50 EUR P</w:t>
            </w:r>
          </w:p>
        </w:tc>
        <w:tc>
          <w:tcPr>
            <w:tcW w:w="1774" w:type="dxa"/>
            <w:tcBorders>
              <w:top w:val="nil"/>
              <w:left w:val="nil"/>
              <w:bottom w:val="single" w:sz="4" w:space="0" w:color="auto"/>
              <w:right w:val="single" w:sz="4" w:space="0" w:color="auto"/>
            </w:tcBorders>
            <w:shd w:val="clear" w:color="auto" w:fill="auto"/>
            <w:noWrap/>
            <w:vAlign w:val="center"/>
            <w:hideMark/>
          </w:tcPr>
          <w:p w14:paraId="46D34CEF" w14:textId="77777777" w:rsidR="00BC49DC" w:rsidRPr="00BC49DC" w:rsidRDefault="00BC49DC" w:rsidP="00BC49DC">
            <w:pPr>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 1986-12-31</w:t>
            </w:r>
          </w:p>
        </w:tc>
        <w:tc>
          <w:tcPr>
            <w:tcW w:w="1774" w:type="dxa"/>
            <w:tcBorders>
              <w:top w:val="nil"/>
              <w:left w:val="nil"/>
              <w:bottom w:val="single" w:sz="4" w:space="0" w:color="auto"/>
              <w:right w:val="single" w:sz="4" w:space="0" w:color="auto"/>
            </w:tcBorders>
            <w:shd w:val="clear" w:color="auto" w:fill="auto"/>
            <w:noWrap/>
            <w:vAlign w:val="center"/>
            <w:hideMark/>
          </w:tcPr>
          <w:p w14:paraId="333B508E" w14:textId="77777777" w:rsidR="00BC49DC" w:rsidRPr="00BC49DC" w:rsidRDefault="00BC49DC" w:rsidP="00BC49DC">
            <w:pPr>
              <w:jc w:val="right"/>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2/22/18</w:t>
            </w:r>
          </w:p>
        </w:tc>
        <w:tc>
          <w:tcPr>
            <w:tcW w:w="1774" w:type="dxa"/>
            <w:tcBorders>
              <w:top w:val="nil"/>
              <w:left w:val="nil"/>
              <w:bottom w:val="single" w:sz="4" w:space="0" w:color="auto"/>
              <w:right w:val="single" w:sz="4" w:space="0" w:color="auto"/>
            </w:tcBorders>
            <w:shd w:val="clear" w:color="auto" w:fill="auto"/>
            <w:noWrap/>
            <w:vAlign w:val="center"/>
            <w:hideMark/>
          </w:tcPr>
          <w:p w14:paraId="058E285D" w14:textId="77777777" w:rsidR="00BC49DC" w:rsidRPr="00BC49DC" w:rsidRDefault="00BC49DC" w:rsidP="00BC49DC">
            <w:pPr>
              <w:jc w:val="right"/>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0.5207</w:t>
            </w:r>
          </w:p>
        </w:tc>
      </w:tr>
      <w:tr w:rsidR="00BC49DC" w:rsidRPr="00BC49DC" w14:paraId="60F222A6" w14:textId="77777777" w:rsidTr="00BC49DC">
        <w:trPr>
          <w:trHeight w:val="263"/>
        </w:trPr>
        <w:tc>
          <w:tcPr>
            <w:tcW w:w="2443" w:type="dxa"/>
            <w:tcBorders>
              <w:top w:val="nil"/>
              <w:left w:val="single" w:sz="4" w:space="0" w:color="auto"/>
              <w:bottom w:val="single" w:sz="4" w:space="0" w:color="auto"/>
              <w:right w:val="single" w:sz="4" w:space="0" w:color="auto"/>
            </w:tcBorders>
            <w:shd w:val="clear" w:color="auto" w:fill="auto"/>
            <w:noWrap/>
            <w:vAlign w:val="center"/>
            <w:hideMark/>
          </w:tcPr>
          <w:p w14:paraId="0F01C7B0" w14:textId="77777777" w:rsidR="00BC49DC" w:rsidRPr="00BC49DC" w:rsidRDefault="00BC49DC" w:rsidP="00BC49DC">
            <w:pPr>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German</w:t>
            </w:r>
          </w:p>
        </w:tc>
        <w:tc>
          <w:tcPr>
            <w:tcW w:w="2348" w:type="dxa"/>
            <w:tcBorders>
              <w:top w:val="nil"/>
              <w:left w:val="nil"/>
              <w:bottom w:val="single" w:sz="4" w:space="0" w:color="auto"/>
              <w:right w:val="single" w:sz="4" w:space="0" w:color="auto"/>
            </w:tcBorders>
            <w:shd w:val="clear" w:color="auto" w:fill="auto"/>
            <w:noWrap/>
            <w:vAlign w:val="center"/>
            <w:hideMark/>
          </w:tcPr>
          <w:p w14:paraId="52567232" w14:textId="77777777" w:rsidR="00BC49DC" w:rsidRPr="00BC49DC" w:rsidRDefault="00BC49DC" w:rsidP="00BC49DC">
            <w:pPr>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DAX</w:t>
            </w:r>
          </w:p>
        </w:tc>
        <w:tc>
          <w:tcPr>
            <w:tcW w:w="1774" w:type="dxa"/>
            <w:tcBorders>
              <w:top w:val="nil"/>
              <w:left w:val="nil"/>
              <w:bottom w:val="single" w:sz="4" w:space="0" w:color="auto"/>
              <w:right w:val="single" w:sz="4" w:space="0" w:color="auto"/>
            </w:tcBorders>
            <w:shd w:val="clear" w:color="auto" w:fill="auto"/>
            <w:noWrap/>
            <w:vAlign w:val="center"/>
            <w:hideMark/>
          </w:tcPr>
          <w:p w14:paraId="5967B809" w14:textId="77777777" w:rsidR="00BC49DC" w:rsidRPr="00BC49DC" w:rsidRDefault="00BC49DC" w:rsidP="00BC49DC">
            <w:pPr>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 1987-12-30</w:t>
            </w:r>
          </w:p>
        </w:tc>
        <w:tc>
          <w:tcPr>
            <w:tcW w:w="1774" w:type="dxa"/>
            <w:tcBorders>
              <w:top w:val="nil"/>
              <w:left w:val="nil"/>
              <w:bottom w:val="single" w:sz="4" w:space="0" w:color="auto"/>
              <w:right w:val="single" w:sz="4" w:space="0" w:color="auto"/>
            </w:tcBorders>
            <w:shd w:val="clear" w:color="auto" w:fill="auto"/>
            <w:noWrap/>
            <w:vAlign w:val="center"/>
            <w:hideMark/>
          </w:tcPr>
          <w:p w14:paraId="7B0C233B" w14:textId="77777777" w:rsidR="00BC49DC" w:rsidRPr="00BC49DC" w:rsidRDefault="00BC49DC" w:rsidP="00BC49DC">
            <w:pPr>
              <w:jc w:val="right"/>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2/22/18</w:t>
            </w:r>
          </w:p>
        </w:tc>
        <w:tc>
          <w:tcPr>
            <w:tcW w:w="1774" w:type="dxa"/>
            <w:tcBorders>
              <w:top w:val="nil"/>
              <w:left w:val="nil"/>
              <w:bottom w:val="single" w:sz="4" w:space="0" w:color="auto"/>
              <w:right w:val="single" w:sz="4" w:space="0" w:color="auto"/>
            </w:tcBorders>
            <w:shd w:val="clear" w:color="auto" w:fill="auto"/>
            <w:noWrap/>
            <w:vAlign w:val="center"/>
            <w:hideMark/>
          </w:tcPr>
          <w:p w14:paraId="1BB09934" w14:textId="77777777" w:rsidR="00BC49DC" w:rsidRPr="00BC49DC" w:rsidRDefault="00BC49DC" w:rsidP="00BC49DC">
            <w:pPr>
              <w:jc w:val="right"/>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0.5903</w:t>
            </w:r>
          </w:p>
        </w:tc>
      </w:tr>
      <w:tr w:rsidR="00BC49DC" w:rsidRPr="00BC49DC" w14:paraId="5F926BEF" w14:textId="77777777" w:rsidTr="00BC49DC">
        <w:trPr>
          <w:trHeight w:val="263"/>
        </w:trPr>
        <w:tc>
          <w:tcPr>
            <w:tcW w:w="2443" w:type="dxa"/>
            <w:tcBorders>
              <w:top w:val="nil"/>
              <w:left w:val="single" w:sz="4" w:space="0" w:color="auto"/>
              <w:bottom w:val="single" w:sz="4" w:space="0" w:color="auto"/>
              <w:right w:val="single" w:sz="4" w:space="0" w:color="auto"/>
            </w:tcBorders>
            <w:shd w:val="clear" w:color="auto" w:fill="auto"/>
            <w:noWrap/>
            <w:vAlign w:val="center"/>
            <w:hideMark/>
          </w:tcPr>
          <w:p w14:paraId="44283470" w14:textId="77777777" w:rsidR="00BC49DC" w:rsidRPr="00BC49DC" w:rsidRDefault="00BC49DC" w:rsidP="00BC49DC">
            <w:pPr>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France</w:t>
            </w:r>
          </w:p>
        </w:tc>
        <w:tc>
          <w:tcPr>
            <w:tcW w:w="2348" w:type="dxa"/>
            <w:tcBorders>
              <w:top w:val="nil"/>
              <w:left w:val="nil"/>
              <w:bottom w:val="single" w:sz="4" w:space="0" w:color="auto"/>
              <w:right w:val="single" w:sz="4" w:space="0" w:color="auto"/>
            </w:tcBorders>
            <w:shd w:val="clear" w:color="auto" w:fill="auto"/>
            <w:noWrap/>
            <w:vAlign w:val="center"/>
            <w:hideMark/>
          </w:tcPr>
          <w:p w14:paraId="5570895F" w14:textId="77777777" w:rsidR="00BC49DC" w:rsidRPr="00BC49DC" w:rsidRDefault="00BC49DC" w:rsidP="00BC49DC">
            <w:pPr>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CAC</w:t>
            </w:r>
          </w:p>
        </w:tc>
        <w:tc>
          <w:tcPr>
            <w:tcW w:w="1774" w:type="dxa"/>
            <w:tcBorders>
              <w:top w:val="nil"/>
              <w:left w:val="nil"/>
              <w:bottom w:val="single" w:sz="4" w:space="0" w:color="auto"/>
              <w:right w:val="single" w:sz="4" w:space="0" w:color="auto"/>
            </w:tcBorders>
            <w:shd w:val="clear" w:color="auto" w:fill="auto"/>
            <w:noWrap/>
            <w:vAlign w:val="center"/>
            <w:hideMark/>
          </w:tcPr>
          <w:p w14:paraId="5952F5CD" w14:textId="77777777" w:rsidR="00BC49DC" w:rsidRPr="00BC49DC" w:rsidRDefault="00BC49DC" w:rsidP="00BC49DC">
            <w:pPr>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 1990-03-01</w:t>
            </w:r>
          </w:p>
        </w:tc>
        <w:tc>
          <w:tcPr>
            <w:tcW w:w="1774" w:type="dxa"/>
            <w:tcBorders>
              <w:top w:val="nil"/>
              <w:left w:val="nil"/>
              <w:bottom w:val="single" w:sz="4" w:space="0" w:color="auto"/>
              <w:right w:val="single" w:sz="4" w:space="0" w:color="auto"/>
            </w:tcBorders>
            <w:shd w:val="clear" w:color="auto" w:fill="auto"/>
            <w:noWrap/>
            <w:vAlign w:val="center"/>
            <w:hideMark/>
          </w:tcPr>
          <w:p w14:paraId="5EAC8FB7" w14:textId="77777777" w:rsidR="00BC49DC" w:rsidRPr="00BC49DC" w:rsidRDefault="00BC49DC" w:rsidP="00BC49DC">
            <w:pPr>
              <w:jc w:val="right"/>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2/22/18</w:t>
            </w:r>
          </w:p>
        </w:tc>
        <w:tc>
          <w:tcPr>
            <w:tcW w:w="1774" w:type="dxa"/>
            <w:tcBorders>
              <w:top w:val="nil"/>
              <w:left w:val="nil"/>
              <w:bottom w:val="single" w:sz="4" w:space="0" w:color="auto"/>
              <w:right w:val="single" w:sz="4" w:space="0" w:color="auto"/>
            </w:tcBorders>
            <w:shd w:val="clear" w:color="auto" w:fill="auto"/>
            <w:noWrap/>
            <w:vAlign w:val="center"/>
            <w:hideMark/>
          </w:tcPr>
          <w:p w14:paraId="1D123BF2" w14:textId="77777777" w:rsidR="00BC49DC" w:rsidRPr="00BC49DC" w:rsidRDefault="00BC49DC" w:rsidP="00BC49DC">
            <w:pPr>
              <w:jc w:val="right"/>
              <w:rPr>
                <w:rFonts w:ascii="Times New Roman" w:eastAsia="Times New Roman" w:hAnsi="Times New Roman" w:cs="Times New Roman"/>
                <w:color w:val="000000"/>
                <w:lang w:eastAsia="en-US"/>
              </w:rPr>
            </w:pPr>
            <w:r w:rsidRPr="00BC49DC">
              <w:rPr>
                <w:rFonts w:ascii="Times New Roman" w:eastAsia="Times New Roman" w:hAnsi="Times New Roman" w:cs="Times New Roman"/>
                <w:color w:val="000000"/>
                <w:lang w:eastAsia="en-US"/>
              </w:rPr>
              <w:t>0.7528</w:t>
            </w:r>
          </w:p>
        </w:tc>
      </w:tr>
    </w:tbl>
    <w:p w14:paraId="0F43926F" w14:textId="77777777" w:rsidR="009571F3" w:rsidRDefault="009571F3">
      <w:pPr>
        <w:rPr>
          <w:rFonts w:cstheme="minorHAnsi"/>
        </w:rPr>
      </w:pPr>
    </w:p>
    <w:p w14:paraId="2E55614D" w14:textId="77777777" w:rsidR="00BC49DC" w:rsidRDefault="00BC49DC">
      <w:pPr>
        <w:rPr>
          <w:rFonts w:cstheme="minorHAnsi"/>
        </w:rPr>
      </w:pPr>
      <w:r>
        <w:rPr>
          <w:rFonts w:cstheme="minorHAnsi"/>
        </w:rPr>
        <w:t xml:space="preserve">The cum returns for the execution of the trading rule in each country/district are plotted below. We could observe that the turn of the month effect is most significant in US and France. </w:t>
      </w:r>
    </w:p>
    <w:p w14:paraId="1C828A8F" w14:textId="77777777" w:rsidR="009571F3" w:rsidRDefault="00BC49DC">
      <w:pPr>
        <w:rPr>
          <w:rFonts w:cstheme="minorHAnsi"/>
        </w:rPr>
      </w:pPr>
      <w:r>
        <w:rPr>
          <w:rFonts w:cstheme="minorHAnsi"/>
        </w:rPr>
        <w:t>In Japan, the cum return of the trading rule fluctuates a lot and the total cum return is as high as other countries.</w:t>
      </w:r>
    </w:p>
    <w:p w14:paraId="570A63A5" w14:textId="77777777" w:rsidR="00BC49DC" w:rsidRDefault="00BC49DC">
      <w:pPr>
        <w:rPr>
          <w:rFonts w:cstheme="minorHAnsi"/>
        </w:rPr>
      </w:pPr>
      <w:r>
        <w:rPr>
          <w:rFonts w:cstheme="minorHAnsi"/>
        </w:rPr>
        <w:t>For Europe, German and France, the cum returns have pretty similar shapes and all have a little drop in recent years. This means the turn of the month effect is disappearing in recent years.</w:t>
      </w:r>
    </w:p>
    <w:p w14:paraId="449D86A9" w14:textId="77777777" w:rsidR="00BC49DC" w:rsidRDefault="00BC49DC">
      <w:pPr>
        <w:rPr>
          <w:rFonts w:cstheme="minorHAnsi"/>
        </w:rPr>
      </w:pPr>
    </w:p>
    <w:p w14:paraId="6A43D370" w14:textId="77777777" w:rsidR="009571F3" w:rsidRDefault="00BC49DC">
      <w:pPr>
        <w:rPr>
          <w:rFonts w:cstheme="minorHAnsi"/>
        </w:rPr>
      </w:pPr>
      <w:r>
        <w:rPr>
          <w:rFonts w:cstheme="minorHAnsi"/>
          <w:noProof/>
          <w:lang w:eastAsia="en-US"/>
        </w:rPr>
        <w:drawing>
          <wp:inline distT="0" distB="0" distL="0" distR="0" wp14:anchorId="63098AE4" wp14:editId="0022276C">
            <wp:extent cx="5943600" cy="1778000"/>
            <wp:effectExtent l="0" t="0" r="0" b="0"/>
            <wp:docPr id="7" name="Picture 7" descr="Macintosh HD:Users:lixinyan:Dropbox:Berkeley2018Spring:230S:HW2_Data:plot:US_cum_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lixinyan:Dropbox:Berkeley2018Spring:230S:HW2_Data:plot:US_cum_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78000"/>
                    </a:xfrm>
                    <a:prstGeom prst="rect">
                      <a:avLst/>
                    </a:prstGeom>
                    <a:noFill/>
                    <a:ln>
                      <a:noFill/>
                    </a:ln>
                  </pic:spPr>
                </pic:pic>
              </a:graphicData>
            </a:graphic>
          </wp:inline>
        </w:drawing>
      </w:r>
    </w:p>
    <w:p w14:paraId="47136BEB" w14:textId="77777777" w:rsidR="00BC49DC" w:rsidRDefault="00BC49DC">
      <w:pPr>
        <w:rPr>
          <w:rFonts w:cstheme="minorHAnsi"/>
        </w:rPr>
      </w:pPr>
    </w:p>
    <w:p w14:paraId="4F1FF65B" w14:textId="77777777" w:rsidR="00BC49DC" w:rsidRDefault="00BC49DC">
      <w:pPr>
        <w:rPr>
          <w:rFonts w:cstheme="minorHAnsi"/>
        </w:rPr>
      </w:pPr>
      <w:r>
        <w:rPr>
          <w:rFonts w:cstheme="minorHAnsi"/>
          <w:noProof/>
          <w:lang w:eastAsia="en-US"/>
        </w:rPr>
        <w:lastRenderedPageBreak/>
        <w:drawing>
          <wp:inline distT="0" distB="0" distL="0" distR="0" wp14:anchorId="394EFE80" wp14:editId="26864B0C">
            <wp:extent cx="5943600" cy="1778000"/>
            <wp:effectExtent l="0" t="0" r="0" b="0"/>
            <wp:docPr id="8" name="Picture 8" descr="Macintosh HD:Users:lixinyan:Dropbox:Berkeley2018Spring:230S:HW2_Data:plot:Japan_cum_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lixinyan:Dropbox:Berkeley2018Spring:230S:HW2_Data:plot:Japan_cum_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78000"/>
                    </a:xfrm>
                    <a:prstGeom prst="rect">
                      <a:avLst/>
                    </a:prstGeom>
                    <a:noFill/>
                    <a:ln>
                      <a:noFill/>
                    </a:ln>
                  </pic:spPr>
                </pic:pic>
              </a:graphicData>
            </a:graphic>
          </wp:inline>
        </w:drawing>
      </w:r>
    </w:p>
    <w:p w14:paraId="183ACEB0" w14:textId="77777777" w:rsidR="00BC49DC" w:rsidRDefault="00BC49DC">
      <w:pPr>
        <w:rPr>
          <w:rFonts w:cstheme="minorHAnsi"/>
        </w:rPr>
      </w:pPr>
    </w:p>
    <w:p w14:paraId="2317F04F" w14:textId="77777777" w:rsidR="00BC49DC" w:rsidRDefault="00BC49DC">
      <w:pPr>
        <w:rPr>
          <w:rFonts w:cstheme="minorHAnsi"/>
        </w:rPr>
      </w:pPr>
      <w:r>
        <w:rPr>
          <w:rFonts w:cstheme="minorHAnsi"/>
          <w:noProof/>
          <w:lang w:eastAsia="en-US"/>
        </w:rPr>
        <w:drawing>
          <wp:inline distT="0" distB="0" distL="0" distR="0" wp14:anchorId="08F9C55C" wp14:editId="7114FE29">
            <wp:extent cx="5943600" cy="1778000"/>
            <wp:effectExtent l="0" t="0" r="0" b="0"/>
            <wp:docPr id="9" name="Picture 9" descr="Macintosh HD:Users:lixinyan:Dropbox:Berkeley2018Spring:230S:HW2_Data:plot:Europe_cum_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lixinyan:Dropbox:Berkeley2018Spring:230S:HW2_Data:plot:Europe_cum_r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78000"/>
                    </a:xfrm>
                    <a:prstGeom prst="rect">
                      <a:avLst/>
                    </a:prstGeom>
                    <a:noFill/>
                    <a:ln>
                      <a:noFill/>
                    </a:ln>
                  </pic:spPr>
                </pic:pic>
              </a:graphicData>
            </a:graphic>
          </wp:inline>
        </w:drawing>
      </w:r>
    </w:p>
    <w:p w14:paraId="686ACD48" w14:textId="77777777" w:rsidR="00BC49DC" w:rsidRDefault="00BC49DC">
      <w:pPr>
        <w:rPr>
          <w:rFonts w:cstheme="minorHAnsi"/>
        </w:rPr>
      </w:pPr>
    </w:p>
    <w:p w14:paraId="6452210A" w14:textId="77777777" w:rsidR="00BC49DC" w:rsidRDefault="00BC49DC">
      <w:pPr>
        <w:rPr>
          <w:rFonts w:cstheme="minorHAnsi"/>
        </w:rPr>
      </w:pPr>
      <w:r>
        <w:rPr>
          <w:rFonts w:cstheme="minorHAnsi"/>
          <w:noProof/>
          <w:lang w:eastAsia="en-US"/>
        </w:rPr>
        <w:drawing>
          <wp:inline distT="0" distB="0" distL="0" distR="0" wp14:anchorId="4D675D62" wp14:editId="1176676C">
            <wp:extent cx="5943600" cy="1778000"/>
            <wp:effectExtent l="0" t="0" r="0" b="0"/>
            <wp:docPr id="10" name="Picture 10" descr="Macintosh HD:Users:lixinyan:Dropbox:Berkeley2018Spring:230S:HW2_Data:plot:German_cum_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lixinyan:Dropbox:Berkeley2018Spring:230S:HW2_Data:plot:German_cum_r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78000"/>
                    </a:xfrm>
                    <a:prstGeom prst="rect">
                      <a:avLst/>
                    </a:prstGeom>
                    <a:noFill/>
                    <a:ln>
                      <a:noFill/>
                    </a:ln>
                  </pic:spPr>
                </pic:pic>
              </a:graphicData>
            </a:graphic>
          </wp:inline>
        </w:drawing>
      </w:r>
    </w:p>
    <w:p w14:paraId="3DCA6D53" w14:textId="77777777" w:rsidR="00BC49DC" w:rsidRDefault="00BC49DC">
      <w:pPr>
        <w:rPr>
          <w:rFonts w:cstheme="minorHAnsi"/>
        </w:rPr>
      </w:pPr>
    </w:p>
    <w:p w14:paraId="19D0EA30" w14:textId="77777777" w:rsidR="00BC49DC" w:rsidRDefault="00BC49DC">
      <w:pPr>
        <w:rPr>
          <w:rFonts w:cstheme="minorHAnsi"/>
        </w:rPr>
      </w:pPr>
    </w:p>
    <w:p w14:paraId="7EB4EF87" w14:textId="77777777" w:rsidR="00BC49DC" w:rsidRDefault="00BC49DC" w:rsidP="00BC49DC">
      <w:pPr>
        <w:jc w:val="center"/>
        <w:rPr>
          <w:rFonts w:cstheme="minorHAnsi"/>
        </w:rPr>
      </w:pPr>
      <w:r>
        <w:rPr>
          <w:rFonts w:cstheme="minorHAnsi"/>
          <w:noProof/>
          <w:lang w:eastAsia="en-US"/>
        </w:rPr>
        <w:drawing>
          <wp:inline distT="0" distB="0" distL="0" distR="0" wp14:anchorId="066A6684" wp14:editId="3AEB85FC">
            <wp:extent cx="5943600" cy="1778000"/>
            <wp:effectExtent l="0" t="0" r="0" b="0"/>
            <wp:docPr id="11" name="Picture 11" descr="Macintosh HD:Users:lixinyan:Dropbox:Berkeley2018Spring:230S:HW2_Data:plot:France_cum_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lixinyan:Dropbox:Berkeley2018Spring:230S:HW2_Data:plot:France_cum_r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78000"/>
                    </a:xfrm>
                    <a:prstGeom prst="rect">
                      <a:avLst/>
                    </a:prstGeom>
                    <a:noFill/>
                    <a:ln>
                      <a:noFill/>
                    </a:ln>
                  </pic:spPr>
                </pic:pic>
              </a:graphicData>
            </a:graphic>
          </wp:inline>
        </w:drawing>
      </w:r>
    </w:p>
    <w:p w14:paraId="7E5601CE" w14:textId="77777777" w:rsidR="00BC49DC" w:rsidRDefault="00BC49DC">
      <w:pPr>
        <w:rPr>
          <w:rFonts w:cstheme="minorHAnsi"/>
        </w:rPr>
      </w:pPr>
    </w:p>
    <w:p w14:paraId="44902E1A" w14:textId="77777777" w:rsidR="00BC49DC" w:rsidRDefault="00BC49DC">
      <w:pPr>
        <w:rPr>
          <w:rFonts w:cstheme="minorHAnsi"/>
        </w:rPr>
      </w:pPr>
    </w:p>
    <w:p w14:paraId="6A45756F" w14:textId="77777777" w:rsidR="00BC49DC" w:rsidRDefault="00BC49DC">
      <w:pPr>
        <w:rPr>
          <w:rFonts w:cstheme="minorHAnsi"/>
        </w:rPr>
      </w:pPr>
      <w:r>
        <w:rPr>
          <w:rFonts w:cstheme="minorHAnsi"/>
        </w:rPr>
        <w:lastRenderedPageBreak/>
        <w:t>d)</w:t>
      </w:r>
    </w:p>
    <w:p w14:paraId="05B702F0" w14:textId="77777777" w:rsidR="00BC49DC" w:rsidRDefault="00BC49DC">
      <w:pPr>
        <w:rPr>
          <w:rFonts w:cstheme="minorHAnsi"/>
        </w:rPr>
      </w:pPr>
    </w:p>
    <w:p w14:paraId="58F85BF8" w14:textId="77777777" w:rsidR="00BC49DC" w:rsidRDefault="00BC49DC">
      <w:pPr>
        <w:rPr>
          <w:rFonts w:cstheme="minorHAnsi"/>
        </w:rPr>
      </w:pPr>
    </w:p>
    <w:p w14:paraId="4AED2E6E" w14:textId="77777777" w:rsidR="00BC49DC" w:rsidRDefault="00BC49DC">
      <w:pPr>
        <w:rPr>
          <w:rFonts w:cstheme="minorHAnsi"/>
        </w:rPr>
      </w:pPr>
    </w:p>
    <w:p w14:paraId="081B1D0A" w14:textId="77777777" w:rsidR="00BC49DC" w:rsidRDefault="00BC49DC">
      <w:pPr>
        <w:rPr>
          <w:rFonts w:cstheme="minorHAnsi"/>
        </w:rPr>
      </w:pPr>
    </w:p>
    <w:p w14:paraId="1335AB67" w14:textId="77777777" w:rsidR="00BC49DC" w:rsidRDefault="00BC49DC">
      <w:pPr>
        <w:rPr>
          <w:rFonts w:cstheme="minorHAnsi"/>
        </w:rPr>
      </w:pPr>
    </w:p>
    <w:p w14:paraId="0CFD4CB0" w14:textId="77777777" w:rsidR="00BC49DC" w:rsidRDefault="00BC49DC">
      <w:pPr>
        <w:rPr>
          <w:rFonts w:cstheme="minorHAnsi"/>
        </w:rPr>
      </w:pPr>
    </w:p>
    <w:p w14:paraId="6C73AD3D" w14:textId="77777777" w:rsidR="00BC49DC" w:rsidRPr="002A679B" w:rsidRDefault="00BC49DC">
      <w:pPr>
        <w:rPr>
          <w:rFonts w:cstheme="minorHAnsi"/>
        </w:rPr>
      </w:pPr>
    </w:p>
    <w:sectPr w:rsidR="00BC49DC" w:rsidRPr="002A679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25711"/>
    <w:rsid w:val="00014034"/>
    <w:rsid w:val="001507A9"/>
    <w:rsid w:val="00187AC9"/>
    <w:rsid w:val="001B273A"/>
    <w:rsid w:val="002A679B"/>
    <w:rsid w:val="003615B1"/>
    <w:rsid w:val="00525711"/>
    <w:rsid w:val="009571F3"/>
    <w:rsid w:val="00BC4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A4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2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273A"/>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36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3615B1"/>
    <w:rPr>
      <w:rFonts w:ascii="Courier" w:hAnsi="Courier" w:cs="Courier"/>
      <w:sz w:val="20"/>
      <w:szCs w:val="20"/>
      <w:lang w:eastAsia="en-US"/>
    </w:rPr>
  </w:style>
  <w:style w:type="character" w:styleId="PlaceholderText">
    <w:name w:val="Placeholder Text"/>
    <w:basedOn w:val="DefaultParagraphFont"/>
    <w:uiPriority w:val="99"/>
    <w:semiHidden/>
    <w:rsid w:val="00187AC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3291">
      <w:bodyDiv w:val="1"/>
      <w:marLeft w:val="0"/>
      <w:marRight w:val="0"/>
      <w:marTop w:val="0"/>
      <w:marBottom w:val="0"/>
      <w:divBdr>
        <w:top w:val="none" w:sz="0" w:space="0" w:color="auto"/>
        <w:left w:val="none" w:sz="0" w:space="0" w:color="auto"/>
        <w:bottom w:val="none" w:sz="0" w:space="0" w:color="auto"/>
        <w:right w:val="none" w:sz="0" w:space="0" w:color="auto"/>
      </w:divBdr>
    </w:div>
    <w:div w:id="462383845">
      <w:bodyDiv w:val="1"/>
      <w:marLeft w:val="0"/>
      <w:marRight w:val="0"/>
      <w:marTop w:val="0"/>
      <w:marBottom w:val="0"/>
      <w:divBdr>
        <w:top w:val="none" w:sz="0" w:space="0" w:color="auto"/>
        <w:left w:val="none" w:sz="0" w:space="0" w:color="auto"/>
        <w:bottom w:val="none" w:sz="0" w:space="0" w:color="auto"/>
        <w:right w:val="none" w:sz="0" w:space="0" w:color="auto"/>
      </w:divBdr>
    </w:div>
    <w:div w:id="506289521">
      <w:bodyDiv w:val="1"/>
      <w:marLeft w:val="0"/>
      <w:marRight w:val="0"/>
      <w:marTop w:val="0"/>
      <w:marBottom w:val="0"/>
      <w:divBdr>
        <w:top w:val="none" w:sz="0" w:space="0" w:color="auto"/>
        <w:left w:val="none" w:sz="0" w:space="0" w:color="auto"/>
        <w:bottom w:val="none" w:sz="0" w:space="0" w:color="auto"/>
        <w:right w:val="none" w:sz="0" w:space="0" w:color="auto"/>
      </w:divBdr>
    </w:div>
    <w:div w:id="590284810">
      <w:bodyDiv w:val="1"/>
      <w:marLeft w:val="0"/>
      <w:marRight w:val="0"/>
      <w:marTop w:val="0"/>
      <w:marBottom w:val="0"/>
      <w:divBdr>
        <w:top w:val="none" w:sz="0" w:space="0" w:color="auto"/>
        <w:left w:val="none" w:sz="0" w:space="0" w:color="auto"/>
        <w:bottom w:val="none" w:sz="0" w:space="0" w:color="auto"/>
        <w:right w:val="none" w:sz="0" w:space="0" w:color="auto"/>
      </w:divBdr>
    </w:div>
    <w:div w:id="1048266507">
      <w:bodyDiv w:val="1"/>
      <w:marLeft w:val="0"/>
      <w:marRight w:val="0"/>
      <w:marTop w:val="0"/>
      <w:marBottom w:val="0"/>
      <w:divBdr>
        <w:top w:val="none" w:sz="0" w:space="0" w:color="auto"/>
        <w:left w:val="none" w:sz="0" w:space="0" w:color="auto"/>
        <w:bottom w:val="none" w:sz="0" w:space="0" w:color="auto"/>
        <w:right w:val="none" w:sz="0" w:space="0" w:color="auto"/>
      </w:divBdr>
    </w:div>
    <w:div w:id="1295864304">
      <w:bodyDiv w:val="1"/>
      <w:marLeft w:val="0"/>
      <w:marRight w:val="0"/>
      <w:marTop w:val="0"/>
      <w:marBottom w:val="0"/>
      <w:divBdr>
        <w:top w:val="none" w:sz="0" w:space="0" w:color="auto"/>
        <w:left w:val="none" w:sz="0" w:space="0" w:color="auto"/>
        <w:bottom w:val="none" w:sz="0" w:space="0" w:color="auto"/>
        <w:right w:val="none" w:sz="0" w:space="0" w:color="auto"/>
      </w:divBdr>
    </w:div>
    <w:div w:id="1666395317">
      <w:bodyDiv w:val="1"/>
      <w:marLeft w:val="0"/>
      <w:marRight w:val="0"/>
      <w:marTop w:val="0"/>
      <w:marBottom w:val="0"/>
      <w:divBdr>
        <w:top w:val="none" w:sz="0" w:space="0" w:color="auto"/>
        <w:left w:val="none" w:sz="0" w:space="0" w:color="auto"/>
        <w:bottom w:val="none" w:sz="0" w:space="0" w:color="auto"/>
        <w:right w:val="none" w:sz="0" w:space="0" w:color="auto"/>
      </w:divBdr>
    </w:div>
    <w:div w:id="1745224956">
      <w:bodyDiv w:val="1"/>
      <w:marLeft w:val="0"/>
      <w:marRight w:val="0"/>
      <w:marTop w:val="0"/>
      <w:marBottom w:val="0"/>
      <w:divBdr>
        <w:top w:val="none" w:sz="0" w:space="0" w:color="auto"/>
        <w:left w:val="none" w:sz="0" w:space="0" w:color="auto"/>
        <w:bottom w:val="none" w:sz="0" w:space="0" w:color="auto"/>
        <w:right w:val="none" w:sz="0" w:space="0" w:color="auto"/>
      </w:divBdr>
    </w:div>
    <w:div w:id="17481838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CocoaOOXMLWriter/1504.83</generator>
</meta>
</file>

<file path=customXml/itemProps1.xml><?xml version="1.0" encoding="utf-8"?>
<ds:datastoreItem xmlns:ds="http://schemas.openxmlformats.org/officeDocument/2006/customXml" ds:itemID="{563B259F-000A-8B4B-9629-0AC44C7F3C3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453</Words>
  <Characters>2584</Characters>
  <Application>Microsoft Macintosh Word</Application>
  <DocSecurity>0</DocSecurity>
  <Lines>21</Lines>
  <Paragraphs>6</Paragraphs>
  <ScaleCrop>false</ScaleCrop>
  <Company>NYU</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黎新 严</cp:lastModifiedBy>
  <cp:revision>3</cp:revision>
  <dcterms:created xsi:type="dcterms:W3CDTF">2018-02-25T05:57:00Z</dcterms:created>
  <dcterms:modified xsi:type="dcterms:W3CDTF">2018-02-25T20:45:00Z</dcterms:modified>
</cp:coreProperties>
</file>