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Kernel知识点Update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Resource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Linux内核揭秘 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"https://xinqiu.gitbooks.io/linux-insides-cn/content/"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https://xinqiu.gitbooks.io/linux-insides-cn/content/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内存地址空间分布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"https://zhuanlan.zhihu.com/p/163744831"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https://zhuanlan.zhihu.com/p/163744831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1、为什么32位操作系统得到虚拟内存为4G？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因为cpu是32位的，所以称为32位操作系统，即4字节。地址总线也是32位，即4字节。最大的寻址能力即为2^32B（32bit = 32/8 byte，每个内存单元占8bit）,即4G。32位系统实际能访问的量也是0x00000000到0xFFFFFFFF这之间的内存地址。内核空间会占用1G或者2G，用户使用的空间为3G或2G，Linux 默认情况下会将高地址的 1GB（2G） 空间分配给内核。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2040" cy="4162425"/>
            <wp:effectExtent l="0" t="0" r="381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32位操作系统内存分布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C中函数参数是存放在哪的？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1、形参（值传递）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2、实参（指针传递、C++引用传递）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在栈区一般会存储函数的参数值、局部变量等内容。在函数调用时，堆栈内数据的排列如下图所示：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8575" cy="3756660"/>
            <wp:effectExtent l="0" t="0" r="15875" b="1524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375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需要补充的知识点：CPU寻址方式、内存管理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"https://link.zhihu.com/?target=https://www.cnblogs.com/blogernice/articles/9875902.html"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CPU体系架构-寻址方式 - blogernice - 博客园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21"/>
          <w:szCs w:val="21"/>
          <w:u w:val="none"/>
          <w:shd w:val="clear" w:fill="FFFFFF"/>
        </w:rPr>
        <w:t>​www.cnblogs.com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EBEBEB"/>
        </w:rPr>
        <w:drawing>
          <wp:inline distT="0" distB="0" distL="114300" distR="114300">
            <wp:extent cx="3238500" cy="15240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2、那64位操作系统的寻址能力是不是2^64B?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实际地址空间大小是2^48B，还有 16 比特暂时没有用，这样虚拟地址也有256TB。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其中，0x0000000000000000~0x00007fffffffffff 表示用户空间， 0xFFFF800000000000~ 0xFFFFFFFFFFFFFFFF 表示内核空间，共提供 256TB(2^48) 的寻址空间。用户和系统各128TB。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1024*1024*1024*1024 = 1TB，0x00007fffffffffff=128TB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2565" cy="1533525"/>
            <wp:effectExtent l="0" t="0" r="1333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64位linux一般使用48位来表示虚拟地址空间，使用43位来表示物理地址空间，可以通过cat /proc/cpuinfo来查看（参考系统 Centos8）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9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cat /proc/cpuinfo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7925" cy="1647825"/>
            <wp:effectExtent l="0" t="0" r="952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3、用户进程能访问多少物理内存？内核代码能访问多少物理内存？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32位系统用户进程最大可以访问3GB，内核代码可以访问所有物理内存。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7"/>
          <w:szCs w:val="27"/>
          <w:shd w:val="clear" w:fill="FFFFFF"/>
        </w:rPr>
        <w:t>64位系统用户进程最大可以访问超过512GB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，内核代码可以访问所有物理内存。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为何64位系统用户进程最大可以访问512GB的内存？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进程调度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核在微观上，把CPU的运行时间分成许多分，然后安排给各个进程轮流运行，造成宏观上所有的进程仿佛同时在执行。双核CPU，实际上最多只能有两个进程在同时运行，大家在top、vmstat命令里看到的正在运行的进程，并不是真的在占有着CPU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所以，一些设计良好的高性能进程，比如nginx，都是实际上有几颗CPU，就配几个工作进程，道理就在这。比如你的服务器有8颗CPU，那么nginx worker应当只有8个，当你多于8个时，内核可能会放超过多个nginx worker进程到1个runqueue里，会发生什么呢？就是在这颗CPU上，会比较均匀的把时间分配给这几个nginx worker，每个worker进程运行完一个时间片后，内核需要做进程切换，把正在运行的进程上下文保存下来。假设内核分配的时间片是100ms，做进程切换的时间是5ms，那么进程性能下降还是很明显的，跟你配置的worker有关，越多下降得越厉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当然，这是跟nginx的设计有关的。nginx是事件驱动的全异步进程，本身设计上就几乎不存在阻塞和中断，nginx的设计者就希望每一个nginx worker可以独占CPU的几乎全部时间片，这点就是nginx worker数量配置的依据所在。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当然，实际的运行进程里，大部分并不是nginx这种希望独占CPU全部时间片的进程，许多进程，比如vi，它在很多时间是在等待用户输入，这时vi在等待IO中断，是不占用时间片的，内核面对多样化的进程，就需要技巧性的分配CPU时间片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核分配时间片是有策略和倾向性的。换句话说，内核是偏心的，它喜欢的是IO消耗型进程，因为这类进程如果不能及时响应，用户就会很不爽，所以它总会下意识的多分配CPU运行时间给这类进程。而CPU消耗进程内核就不太关心了。这有道理吗？太有了，CPU消耗型慢一点用户感知不出来，电信号和生物信号运转速度差距巨大。虽然内核尽量多的分配时间片给IO消耗型进程，但IO消耗进程常常在睡觉，给它的时间片根本用不掉。很合理吧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那么内核具体是怎么实现这种偏心呢？通过动态调整进程的优先级，以及分配不同长短的CPU时间处来实现。先说内核如何决定时间片的长度。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对每一个进程，有一个整型static_prio表示用户设置的静态优先级，内核里它与nice值是对应的。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"https://cloud.tencent.com/developer/article/1449443https:/cloud.tencent.com/developer/article/1449443"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https://cloud.tencent.com/developer/article/1449443https://cloud.tencent.com/developer/article/1449443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中断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中断vs轮询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 内核需要对连接到计算机上的所有硬件设备进行管理，毫无疑问这是它的份内事。如果要管理这些设备，首先得和它们互相通信才行，一般有两种方案可实现这种功能：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中断（interrupt） 让硬件在需要的时候向内核发出信号（变内核主动为硬件主动）。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中断的好处是响应及时，如果数据量较小，则不会占用太多的CPU事件；缺点是数据量大时，会产生过多中断，而每个中断都要消耗不少的CPU时间，从而导致效率反而不如轮询高。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轮询（polling） 让内核定期对设备的状态进行查询，然后做出相应的处理；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轮询方式与中断方式相反，它更适合处理大量数据，因为每次轮询不需要消耗过多的CPU时间；缺点是即使只接收很少数据或不接收数据时，也要占用CPU时间。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轮询中断结合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PI是两者的结合，数据量低时采用中断，数据量高时采用轮询。平时是中断方式，当有数据到达时，会触发中断处理函数执行，中断处理函数关闭中断开始处理。如果此时有数据到达，则没必要再触发中断了，因为中断处理函数中会轮询处理数据，直到没有新数据时才打开中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从物理学的角度看，中断是一种电信号，由硬件设备产生，并直接送入中断控制器（如 8259A）的输入引脚上，然后再由中断控制器向处理器发送相应的信号。处理器一经检测到该信号，便中断自己当前正在处理的工作，转而去处理中断。此后，处理器会通知 OS 已经产生中断。这样，OS 就可以对这个中断进行适当的处理。不同的设备对应的中断不同，而每个中断都通过一个唯一的数字标识，这些值通常被称为中断请求线。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中断vs异常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中断可分为同步（synchronous）中断和异步（asynchronous）中断：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同步中断是当指令执行时由 CPU 控制单元产生，之所以称为同步，是因为只有在一条指令执行完毕后 CPU 才会发出中断，而不是发生在代码指令执行期间，比如系统调用。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异步中断是指由其他硬件设备依照 CPU 时钟信号随机产生，即意味着中断能够在指令之间发生，例如键盘中断。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 Intel 官方资料，同步中断称为异常（exception），异步中断被称为中断（interrupt）。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中断可分为可屏蔽中断（Maskable interrupt）和非屏蔽中断（Nomaskable interrupt）。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异常可分为故障（fault）、陷阱（trap）、终止（abort）三类。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中断上下文 vs 进程上下文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当执行一个中断处理程序的时候，内核处于中断上下文，与进程没啥关系，没有后备进程，所以不可以睡眠。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中断处理程序打断了其它的代码（甚至可能打断另一中断处理程序，以及软中断），所以必须快速，简洁。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上半部 vs下半部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中断处理程序要快！ VS 中断处理程序完成的工作量多!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把中断处理切为两个部分，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上半部是接收到中断就立即执行，但是只做有严格时限的工作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能够允许稍后完成的工作会推迟到下半部，在合适的时机，下半部会开中断执行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中断下半部–软中断 vs tasklet vs workqueue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软中断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产生后并不是马上可以执行，必须要等待内核的调度才能执行。软中断不能被自己打断(即单个cpu上软中断不能嵌套执行)，只能被硬件中断打断（上半部）。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可以并发运行在多个CPU上（即使同一类型的也可以）。所以软中断必须设计为可重入的函数（允许多个CPU同时操作），因此也需要使用自旋锁来保其数据结构。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static struct softirq_action softirq_vec[NR_SOFTIRQS] __cacheline_aligned_in_smp;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enum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HI_SOFTIRQ=0, /*用于高优先级的tasklet*/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TIMER_SOFTIRQ, /*用于定时器的下半部*/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NET_TX_SOFTIRQ, /*用于网络层发包*/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NET_RX_SOFTIRQ, /*用于网络层收报*/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BLOCK_SOFTIRQ,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BLOCK_IOPOLL_SOFTIRQ,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TASKLET_SOFTIRQ, /*用于低优先级的tasklet*/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SCHED_SOFTIRQ,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HRTIMER_SOFTIRQ,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RCU_SOFTIRQ, /* Preferable RCU should always be the last softirq */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NR_SOFTIRQS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open_softirq(int nr, void (*action)(struct softirq_action *)) // 注册软中断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raise_softirq(unsigned int nr) // 触发软中断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do_softirq--&gt;__do_softirq // 执行软中断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tasklet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软中断必须使用可重入函数，这就导致设计上的复杂度变高，作为设备驱动程序的开发者来说，增加了负担。而如果某种应用并不需要在多个CPU上并行执行，那么软中断其实是没有必要的。因此诞生了弥补以上两个要求的tasklet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它具有以下特性：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a）一种特定类型的tasklet只能运行在一个CPU上，不能并行，只能串行执行。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b）多个不同类型的tasklet可以并行在多个CPU上。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c）软中断是静态分配的，在内核编译好之后，就不能改变。但tasklet就灵活许多，可以在运行时改变（比如添加模块时）。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tasklet是在两种软中断类型的基础上实现的，因此如果不需要软中断的并行特性，tasklet就是最好的选择。也就是说tasklet是软中断的一种特殊用法，即延迟情况下的串行执行。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工作队列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中断和tasklet都是运行在中断上下文中，它们与任一进程无关，没有支持的进程完成重新调度。所以软中断和tasklet不能睡眠、不能阻塞，它们的代码中不能含有导致睡眠的动作，如减少信号量、从用户空间拷贝数据或手工分配内存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工作队列是Linux 2.6 内核中新增加的一种下半部机制。它与其它几种下半部分机制最大的区别就是它可以把工作推后，交由一个内核线程去执行。内核线程只在内核空间运行，没有自己的用户空间，它和普通进程一样可以被调度，也可以被抢占。该工作队列总是会在进程上下文执行。这样，通过工作队列执行的代码能占尽进程上下文的所有优势，最重要的就是工作队列允许重新调度甚至是睡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如果推后执行的任务需要睡眠，那么就选择工作队列；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如果推后执行的任务不需要睡眠，那么就选择tasklet。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上，工作队列的本质就是将工作交给内核线程处理，因此其可以用内核线程替换。但是内核线程的创建和销毁对编程者的要求较高，而工作队列实现了内核线程的封装，不易出错，所以我们也推荐使用工作队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版权声明：本文为CSDN博主「网络安全研发随想」的原创文章，遵循CC 4.0 BY-SA版权协议，转载请附上原文出处链接及本声明。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"https://blog.csdn.net/gengzhikui1992/article/details/85282005"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https://blog.csdn.net/gengzhikui1992/article/details/85282005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可重入函数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可重入的函数简单来说就是可以被中断的函数，也就是说，可以在这个函数执行的任何时刻中断它，转入OS调度下去执行另外一段代码，而返回控制时不会出现什么错误；而不可重入的函数由于使用了一些系统资源，比如全局变量区，中断向量表等，所以它如果被中断的话，可能会出现问题，这类函数是不能运行在多任务环境下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版权声明：本文为CSDN博主「Mike江」的原创文章，遵循CC 4.0 BY-SA版权协议，转载请附上原文出处链接及本声明。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"https://blog.csdn.net/tennysonsky/article/details/45127125"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https://blog.csdn.net/tennysonsky/article/details/45127125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用户抢占和内核抢占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"https://www.cnblogs.com/linhaostudy/p/9888910.html"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https://www.cnblogs.com/linhaostudy/p/9888910.html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ntp时钟调整策略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"https://blog.csdn.net/varyall/article/details/80220418"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https://blog.csdn.net/varyall/article/details/80220418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8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AF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0"/>
        <w:gridCol w:w="1180"/>
        <w:gridCol w:w="1520"/>
        <w:gridCol w:w="1280"/>
        <w:gridCol w:w="2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2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AFAFA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center"/>
              <w:textAlignment w:val="baseline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Offset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</w:rPr>
              <w:t>（与服务器的时间差）</w:t>
            </w:r>
          </w:p>
        </w:tc>
        <w:tc>
          <w:tcPr>
            <w:tcW w:w="1180" w:type="dxa"/>
            <w:tcBorders>
              <w:top w:val="single" w:color="ECE9D8" w:sz="8" w:space="0"/>
              <w:left w:val="single" w:color="ECE9D8" w:sz="6" w:space="0"/>
              <w:bottom w:val="single" w:color="ECE9D8" w:sz="8" w:space="0"/>
              <w:right w:val="single" w:color="ECE9D8" w:sz="8" w:space="0"/>
            </w:tcBorders>
            <w:shd w:val="clear" w:color="auto" w:fill="FAFAFA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center"/>
              <w:textAlignment w:val="baseline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0-128ms</w:t>
            </w:r>
          </w:p>
        </w:tc>
        <w:tc>
          <w:tcPr>
            <w:tcW w:w="1520" w:type="dxa"/>
            <w:tcBorders>
              <w:top w:val="single" w:color="ECE9D8" w:sz="8" w:space="0"/>
              <w:left w:val="single" w:color="ECE9D8" w:sz="6" w:space="0"/>
              <w:bottom w:val="single" w:color="ECE9D8" w:sz="8" w:space="0"/>
              <w:right w:val="single" w:color="ECE9D8" w:sz="8" w:space="0"/>
            </w:tcBorders>
            <w:shd w:val="clear" w:color="auto" w:fill="FAFAFA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center"/>
              <w:textAlignment w:val="baseline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128ms-600s</w:t>
            </w:r>
          </w:p>
        </w:tc>
        <w:tc>
          <w:tcPr>
            <w:tcW w:w="1280" w:type="dxa"/>
            <w:tcBorders>
              <w:top w:val="single" w:color="ECE9D8" w:sz="8" w:space="0"/>
              <w:left w:val="single" w:color="ECE9D8" w:sz="6" w:space="0"/>
              <w:bottom w:val="single" w:color="ECE9D8" w:sz="8" w:space="0"/>
              <w:right w:val="single" w:color="ECE9D8" w:sz="8" w:space="0"/>
            </w:tcBorders>
            <w:shd w:val="clear" w:color="auto" w:fill="FAFAFA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center"/>
              <w:textAlignment w:val="baseline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600s-1000s</w:t>
            </w:r>
          </w:p>
        </w:tc>
        <w:tc>
          <w:tcPr>
            <w:tcW w:w="2800" w:type="dxa"/>
            <w:tcBorders>
              <w:top w:val="single" w:color="ECE9D8" w:sz="8" w:space="0"/>
              <w:left w:val="single" w:color="ECE9D8" w:sz="6" w:space="0"/>
              <w:bottom w:val="single" w:color="ECE9D8" w:sz="8" w:space="0"/>
              <w:right w:val="single" w:color="ECE9D8" w:sz="8" w:space="0"/>
            </w:tcBorders>
            <w:shd w:val="clear" w:color="auto" w:fill="FAFAFA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center"/>
              <w:textAlignment w:val="baseline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1000s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</w:rPr>
              <w:t>以上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6" w:hRule="atLeast"/>
        </w:trPr>
        <w:tc>
          <w:tcPr>
            <w:tcW w:w="2020" w:type="dxa"/>
            <w:tcBorders>
              <w:top w:val="single" w:color="ECE9D8" w:sz="6" w:space="0"/>
              <w:left w:val="single" w:color="ECE9D8" w:sz="8" w:space="0"/>
              <w:bottom w:val="single" w:color="ECE9D8" w:sz="8" w:space="0"/>
              <w:right w:val="single" w:color="ECE9D8" w:sz="8" w:space="0"/>
            </w:tcBorders>
            <w:shd w:val="clear" w:color="auto" w:fill="FAFAFA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center"/>
              <w:textAlignment w:val="baseline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</w:rPr>
              <w:t>使用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-X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</w:rPr>
              <w:t>参数</w:t>
            </w:r>
          </w:p>
        </w:tc>
        <w:tc>
          <w:tcPr>
            <w:tcW w:w="1180" w:type="dxa"/>
            <w:tcBorders>
              <w:top w:val="single" w:color="ECE9D8" w:sz="6" w:space="0"/>
              <w:left w:val="single" w:color="ECE9D8" w:sz="6" w:space="0"/>
              <w:bottom w:val="single" w:color="ECE9D8" w:sz="8" w:space="0"/>
              <w:right w:val="single" w:color="ECE9D8" w:sz="8" w:space="0"/>
            </w:tcBorders>
            <w:shd w:val="clear" w:color="auto" w:fill="FAFAFA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center"/>
              <w:textAlignment w:val="baseline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</w:rPr>
              <w:t>微调</w:t>
            </w:r>
          </w:p>
        </w:tc>
        <w:tc>
          <w:tcPr>
            <w:tcW w:w="1520" w:type="dxa"/>
            <w:tcBorders>
              <w:top w:val="single" w:color="ECE9D8" w:sz="6" w:space="0"/>
              <w:left w:val="single" w:color="ECE9D8" w:sz="6" w:space="0"/>
              <w:bottom w:val="single" w:color="ECE9D8" w:sz="8" w:space="0"/>
              <w:right w:val="single" w:color="ECE9D8" w:sz="8" w:space="0"/>
            </w:tcBorders>
            <w:shd w:val="clear" w:color="auto" w:fill="FAFAFA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center"/>
              <w:textAlignment w:val="baseline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</w:rPr>
              <w:t>微调（速度大约是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0.5ms/s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</w:rPr>
              <w:t>，调整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600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</w:rPr>
              <w:t>秒要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14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</w:rPr>
              <w:t>天左右）</w:t>
            </w:r>
          </w:p>
        </w:tc>
        <w:tc>
          <w:tcPr>
            <w:tcW w:w="1280" w:type="dxa"/>
            <w:tcBorders>
              <w:top w:val="single" w:color="ECE9D8" w:sz="6" w:space="0"/>
              <w:left w:val="single" w:color="ECE9D8" w:sz="6" w:space="0"/>
              <w:bottom w:val="single" w:color="ECE9D8" w:sz="8" w:space="0"/>
              <w:right w:val="single" w:color="ECE9D8" w:sz="8" w:space="0"/>
            </w:tcBorders>
            <w:shd w:val="clear" w:color="auto" w:fill="FAFAFA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center"/>
              <w:textAlignment w:val="baseline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</w:rPr>
              <w:t>跳跃</w:t>
            </w:r>
          </w:p>
        </w:tc>
        <w:tc>
          <w:tcPr>
            <w:tcW w:w="2800" w:type="dxa"/>
            <w:tcBorders>
              <w:top w:val="single" w:color="ECE9D8" w:sz="6" w:space="0"/>
              <w:left w:val="single" w:color="ECE9D8" w:sz="6" w:space="0"/>
              <w:bottom w:val="single" w:color="ECE9D8" w:sz="8" w:space="0"/>
              <w:right w:val="single" w:color="ECE9D8" w:sz="8" w:space="0"/>
            </w:tcBorders>
            <w:shd w:val="clear" w:color="auto" w:fill="FAFAFA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center"/>
              <w:textAlignment w:val="baseline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</w:rPr>
              <w:t>退出（加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-g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</w:rPr>
              <w:t>参数可忽略）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20" w:type="dxa"/>
            <w:tcBorders>
              <w:top w:val="single" w:color="ECE9D8" w:sz="6" w:space="0"/>
              <w:left w:val="single" w:color="ECE9D8" w:sz="8" w:space="0"/>
              <w:bottom w:val="single" w:color="ECE9D8" w:sz="8" w:space="0"/>
              <w:right w:val="single" w:color="ECE9D8" w:sz="8" w:space="0"/>
            </w:tcBorders>
            <w:shd w:val="clear" w:color="auto" w:fill="FAFAFA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center"/>
              <w:textAlignment w:val="baseline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</w:rPr>
              <w:t>不使用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-X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</w:rPr>
              <w:t>参数</w:t>
            </w:r>
          </w:p>
        </w:tc>
        <w:tc>
          <w:tcPr>
            <w:tcW w:w="1180" w:type="dxa"/>
            <w:tcBorders>
              <w:top w:val="single" w:color="ECE9D8" w:sz="6" w:space="0"/>
              <w:left w:val="single" w:color="ECE9D8" w:sz="6" w:space="0"/>
              <w:bottom w:val="single" w:color="ECE9D8" w:sz="8" w:space="0"/>
              <w:right w:val="single" w:color="ECE9D8" w:sz="8" w:space="0"/>
            </w:tcBorders>
            <w:shd w:val="clear" w:color="auto" w:fill="FAFAFA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center"/>
              <w:textAlignment w:val="baseline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</w:rPr>
              <w:t>微调</w:t>
            </w:r>
          </w:p>
        </w:tc>
        <w:tc>
          <w:tcPr>
            <w:tcW w:w="1520" w:type="dxa"/>
            <w:tcBorders>
              <w:top w:val="single" w:color="ECE9D8" w:sz="6" w:space="0"/>
              <w:left w:val="single" w:color="ECE9D8" w:sz="6" w:space="0"/>
              <w:bottom w:val="single" w:color="ECE9D8" w:sz="8" w:space="0"/>
              <w:right w:val="single" w:color="ECE9D8" w:sz="8" w:space="0"/>
            </w:tcBorders>
            <w:shd w:val="clear" w:color="auto" w:fill="FAFAFA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center"/>
              <w:textAlignment w:val="baseline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</w:rPr>
              <w:t>跳跃</w:t>
            </w:r>
          </w:p>
        </w:tc>
        <w:tc>
          <w:tcPr>
            <w:tcW w:w="1280" w:type="dxa"/>
            <w:tcBorders>
              <w:top w:val="single" w:color="ECE9D8" w:sz="6" w:space="0"/>
              <w:left w:val="single" w:color="ECE9D8" w:sz="6" w:space="0"/>
              <w:bottom w:val="single" w:color="ECE9D8" w:sz="8" w:space="0"/>
              <w:right w:val="single" w:color="ECE9D8" w:sz="8" w:space="0"/>
            </w:tcBorders>
            <w:shd w:val="clear" w:color="auto" w:fill="FAFAFA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center"/>
              <w:textAlignment w:val="baseline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</w:rPr>
              <w:t>跳跃</w:t>
            </w:r>
          </w:p>
        </w:tc>
        <w:tc>
          <w:tcPr>
            <w:tcW w:w="2800" w:type="dxa"/>
            <w:tcBorders>
              <w:top w:val="single" w:color="ECE9D8" w:sz="6" w:space="0"/>
              <w:left w:val="single" w:color="ECE9D8" w:sz="6" w:space="0"/>
              <w:bottom w:val="single" w:color="ECE9D8" w:sz="8" w:space="0"/>
              <w:right w:val="single" w:color="ECE9D8" w:sz="8" w:space="0"/>
            </w:tcBorders>
            <w:shd w:val="clear" w:color="auto" w:fill="FAFAFA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" w:lineRule="atLeast"/>
              <w:ind w:left="0" w:right="0"/>
              <w:jc w:val="center"/>
              <w:textAlignment w:val="baseline"/>
              <w:rPr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</w:rPr>
              <w:t>退出（加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  <w:lang w:val="en-US"/>
              </w:rPr>
              <w:t>-g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20"/>
                <w:szCs w:val="20"/>
                <w:bdr w:val="none" w:color="auto" w:sz="0" w:space="0"/>
                <w:vertAlign w:val="baseline"/>
              </w:rPr>
              <w:t>参数可忽略）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深度解析CephX原理—调节NTP时钟的困境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"https://hackerain.me/2019/12/15/ceph/cephx.html"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https://hackerain.me/2019/12/15/ceph/cephx.html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35E6A"/>
    <w:rsid w:val="0489209A"/>
    <w:rsid w:val="050C71D1"/>
    <w:rsid w:val="122E285F"/>
    <w:rsid w:val="17343CE9"/>
    <w:rsid w:val="18121392"/>
    <w:rsid w:val="1CA31C36"/>
    <w:rsid w:val="265C1841"/>
    <w:rsid w:val="2F4B15AA"/>
    <w:rsid w:val="36D32B09"/>
    <w:rsid w:val="38661397"/>
    <w:rsid w:val="388F79B0"/>
    <w:rsid w:val="48135E6A"/>
    <w:rsid w:val="4CCA248D"/>
    <w:rsid w:val="51B0718B"/>
    <w:rsid w:val="618F6726"/>
    <w:rsid w:val="665D5411"/>
    <w:rsid w:val="6B677EA4"/>
    <w:rsid w:val="70170584"/>
    <w:rsid w:val="75D64D7A"/>
    <w:rsid w:val="7ACE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2021-06-01T11:48:00Z</dcterms:created>
  <dc:creator>Margin Hu</dc:creator>
  <cp:lastModifiedBy>Margin Hu</cp:lastModifiedBy>
  <dcterms:modified xsi:type="dcterms:W3CDTF">2021-06-02T09:27:51Z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2825A79FB26246E0AA0837F33209B8CF</vt:lpwstr>
  </property>
</Properties>
</file>