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r>
        <w:rPr>
          <w:rFonts w:hint="eastAsia"/>
        </w:rPr>
        <w:t>对于中小资金来说，根本没必要参与。一定要记住，操作一定要按标准来，这样才是最有效率的。如果买入后不出现盘整，那就要彻底恭喜你了，因为这股票将至少回升到“下跌+盘整+下跌”的盘整区域，如果在日线或周线上出现这种走势，进而发展成为大黑马的可能是相当大的。</w:t>
      </w:r>
    </w:p>
    <w:p>
      <w:pPr>
        <w:rPr>
          <w:rFonts w:hint="eastAsia"/>
        </w:rPr>
      </w:pPr>
    </w:p>
    <w:p>
      <w:pPr>
        <w:rPr>
          <w:rFonts w:hint="eastAsia"/>
        </w:rPr>
      </w:pPr>
    </w:p>
    <w:p>
      <w:pPr>
        <w:rPr>
          <w:rFonts w:hint="eastAsia"/>
        </w:rPr>
      </w:pPr>
    </w:p>
    <w:p>
      <w:pPr>
        <w:rPr>
          <w:rFonts w:hint="eastAsia"/>
        </w:rPr>
      </w:pPr>
      <w:r>
        <w:rPr>
          <w:rFonts w:hint="eastAsia"/>
        </w:rPr>
        <w:t>3日上市的极米科技大涨超16%股价突破600元，志邦家居、金牌橱柜涨停，尚品宅配涨近7%，我乐家居、江山欧派、乐歌股份等涨幅超4%。</w:t>
      </w:r>
    </w:p>
    <w:p>
      <w:pPr>
        <w:rPr>
          <w:rFonts w:hint="eastAsia"/>
        </w:rPr>
      </w:pPr>
    </w:p>
    <w:p>
      <w:pPr>
        <w:rPr>
          <w:rFonts w:hint="eastAsia"/>
        </w:rPr>
      </w:pPr>
      <w:r>
        <w:rPr>
          <w:rFonts w:hint="eastAsia"/>
        </w:rPr>
        <w:t>越跌越关注！险资兴趣点转向了这些公司 8家调研杰瑞股份</w:t>
      </w:r>
    </w:p>
    <w:p>
      <w:pPr>
        <w:rPr>
          <w:rFonts w:hint="eastAsia"/>
        </w:rPr>
      </w:pPr>
    </w:p>
    <w:p>
      <w:pPr>
        <w:rPr>
          <w:rFonts w:hint="eastAsia"/>
        </w:rPr>
      </w:pPr>
      <w:r>
        <w:rPr>
          <w:rFonts w:hint="eastAsia"/>
        </w:rPr>
        <w:t>　具体看个股的调研情况，今年以来，险资在春节前调研最多的是爱美客(300896.SZ)、吉比特(603444.SZ)和领益智造(002600.SZ)，节后则重点关注杰瑞股份、恒逸石化(000703.SZ)和西麦食品(002956.SZ)，相关个股节后的表现则涨跌参半。</w:t>
      </w:r>
    </w:p>
    <w:p>
      <w:pPr>
        <w:rPr>
          <w:rFonts w:hint="eastAsia"/>
        </w:rPr>
      </w:pPr>
    </w:p>
    <w:p>
      <w:pPr>
        <w:rPr>
          <w:rFonts w:hint="eastAsia"/>
        </w:rPr>
      </w:pPr>
    </w:p>
    <w:p>
      <w:pPr>
        <w:rPr>
          <w:rFonts w:hint="eastAsia"/>
        </w:rPr>
      </w:pPr>
      <w:r>
        <w:rPr>
          <w:rFonts w:hint="eastAsia"/>
        </w:rPr>
        <w:t>　2月下旬，国寿养老、国寿资产、太平资产、英大保险资管等8家险资机构集体参与调研杰瑞股份，调研的问题围绕公司研发的涡轮压裂设备和电驱压裂设备的优势，及其在北美市场的竞争优势等。同处于石油产业链中的恒逸石化也受到不少关注，虽然仅在2月22日进行了唯一一次调研活动，却有8家险资公司积极参与。国盛证券在2月21日的研报中首次覆盖给予“买入”评级，公司股价则在节后走出倒“U”形。资料显示，随着2015年海南逸盛PTA项目投产，恒逸石化成为国内最大的PTA生产企业，2019年11月文莱炼油一期项目全面建成投产，2020年9月公司公告拟投资136.54亿美元建设文莱炼化二期项目，项目进展也成为调研的重点问题。</w:t>
      </w:r>
    </w:p>
    <w:p>
      <w:pPr>
        <w:rPr>
          <w:rFonts w:hint="eastAsia"/>
        </w:rPr>
      </w:pPr>
    </w:p>
    <w:p>
      <w:pPr>
        <w:rPr>
          <w:rFonts w:hint="eastAsia"/>
        </w:rPr>
      </w:pPr>
      <w:r>
        <w:rPr>
          <w:rFonts w:hint="eastAsia"/>
        </w:rPr>
        <w:t>　　同样股价下跌但很受关注的，还有全棉时代的生产公司稳健医疗(300888.SZ)，节后累计下跌22.06%，却接受了险资6次调研；专注于发展医疗服务的国际医学(000516.SZ)节后累计下跌12.55%，险资调研次数达到4次；军工板块的航天发展(000547.SZ)和这两天刚复牌的盛达资源分别累计下跌1.59%、2.24%，险资调研次数也都达到4次。除了“越跌越看”，险资节后的调研重点也落在中盘股上，包括前述的杰瑞股份、国际医学、航天发展、盛达资源在内，重点调研的西麦食品、联创电子(002036.SZ)、昆仑万维(300418.SZ)等总市值均未超过500亿元。其中，西麦食品最新市值仅有51.12亿元，节后已累计上涨25.00%。</w:t>
      </w:r>
    </w:p>
    <w:p>
      <w:pPr>
        <w:rPr>
          <w:rFonts w:hint="eastAsia"/>
        </w:rPr>
      </w:pPr>
    </w:p>
    <w:p/>
    <w:p/>
    <w:p>
      <w:pPr>
        <w:pStyle w:val="2"/>
        <w:bidi w:val="0"/>
      </w:pPr>
      <w:r>
        <w:rPr>
          <w:rFonts w:hint="default"/>
          <w:lang w:val="en-US" w:eastAsia="zh-CN"/>
        </w:rPr>
        <w:fldChar w:fldCharType="begin"/>
      </w:r>
      <w:r>
        <w:rPr>
          <w:rFonts w:hint="default"/>
          <w:lang w:val="en-US" w:eastAsia="zh-CN"/>
        </w:rPr>
        <w:instrText xml:space="preserve"> HYPERLINK "https://xueqiu.com/shihuawei" \t "https://xueqiu.com/5018581441/_blank" </w:instrText>
      </w:r>
      <w:r>
        <w:rPr>
          <w:rFonts w:hint="default"/>
          <w:lang w:val="en-US" w:eastAsia="zh-CN"/>
        </w:rPr>
        <w:fldChar w:fldCharType="separate"/>
      </w:r>
      <w:r>
        <w:rPr>
          <w:rStyle w:val="7"/>
          <w:rFonts w:hint="default" w:ascii="Helvetica" w:hAnsi="Helvetica" w:eastAsia="Helvetica" w:cs="Helvetica"/>
          <w:b/>
          <w:i w:val="0"/>
          <w:caps w:val="0"/>
          <w:color w:val="33353C"/>
          <w:spacing w:val="0"/>
          <w:szCs w:val="21"/>
          <w:u w:val="none"/>
        </w:rPr>
        <w:t>似水年华</w:t>
      </w:r>
      <w:r>
        <w:rPr>
          <w:rFonts w:hint="default"/>
          <w:lang w:val="en-US" w:eastAsia="zh-CN"/>
        </w:rPr>
        <w:fldChar w:fldCharType="end"/>
      </w:r>
    </w:p>
    <w:p>
      <w:pPr>
        <w:keepNext w:val="0"/>
        <w:keepLines w:val="0"/>
        <w:widowControl/>
        <w:suppressLineNumbers w:val="0"/>
        <w:spacing w:line="27" w:lineRule="atLeast"/>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行情很鸡肋，抱团股没止跌，强势股开始补跌，大盘风险有限，个股风险较大。等新的抱团品种形成后，才能再次走出趋势性机会，3月底4月初是重要时间窗口。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除了大牛市之外，每年的三四五月，都是比较苦逼的时期，今年碰上收缩流动性，交易难度会更大，要减少不必要的操作，强撸容易灰飞烟灭。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除了低位低估值今年业绩高成长的品种与标的之外，其他类型的都可以先减一减，很难扛住系统性风险，等系统性风险过去之后再说</w:t>
      </w:r>
    </w:p>
    <w:p>
      <w:pPr>
        <w:keepNext w:val="0"/>
        <w:keepLines w:val="0"/>
        <w:widowControl/>
        <w:suppressLineNumbers w:val="0"/>
        <w:spacing w:line="27" w:lineRule="atLeast"/>
        <w:jc w:val="left"/>
        <w:rPr>
          <w:rFonts w:ascii="宋体" w:hAnsi="宋体" w:eastAsia="宋体" w:cs="宋体"/>
          <w:kern w:val="0"/>
          <w:sz w:val="24"/>
          <w:szCs w:val="24"/>
          <w:lang w:val="en-US" w:eastAsia="zh-CN" w:bidi="ar"/>
        </w:rPr>
      </w:pPr>
    </w:p>
    <w:p>
      <w:pPr>
        <w:keepNext w:val="0"/>
        <w:keepLines w:val="0"/>
        <w:widowControl/>
        <w:suppressLineNumbers w:val="0"/>
        <w:spacing w:line="27" w:lineRule="atLeast"/>
        <w:jc w:val="left"/>
        <w:rPr>
          <w:rFonts w:ascii="宋体" w:hAnsi="宋体" w:eastAsia="宋体" w:cs="宋体"/>
          <w:kern w:val="0"/>
          <w:sz w:val="24"/>
          <w:szCs w:val="24"/>
          <w:lang w:val="en-US" w:eastAsia="zh-CN" w:bidi="ar"/>
        </w:rPr>
      </w:pPr>
    </w:p>
    <w:p>
      <w:pPr>
        <w:keepNext w:val="0"/>
        <w:keepLines w:val="0"/>
        <w:widowControl/>
        <w:suppressLineNumbers w:val="0"/>
        <w:spacing w:line="27" w:lineRule="atLeast"/>
        <w:jc w:val="left"/>
        <w:rPr>
          <w:rFonts w:ascii="宋体" w:hAnsi="宋体" w:eastAsia="宋体" w:cs="宋体"/>
          <w:kern w:val="0"/>
          <w:sz w:val="24"/>
          <w:szCs w:val="24"/>
          <w:lang w:val="en-US" w:eastAsia="zh-CN" w:bidi="ar"/>
        </w:rPr>
      </w:pPr>
    </w:p>
    <w:p>
      <w:pPr>
        <w:keepNext w:val="0"/>
        <w:keepLines w:val="0"/>
        <w:widowControl/>
        <w:suppressLineNumbers w:val="0"/>
        <w:spacing w:line="27" w:lineRule="atLeast"/>
        <w:jc w:val="left"/>
        <w:rPr>
          <w:rFonts w:ascii="宋体" w:hAnsi="宋体" w:eastAsia="宋体" w:cs="宋体"/>
          <w:kern w:val="0"/>
          <w:sz w:val="24"/>
          <w:szCs w:val="24"/>
          <w:lang w:val="en-US" w:eastAsia="zh-CN" w:bidi="ar"/>
        </w:rPr>
      </w:pPr>
    </w:p>
    <w:p>
      <w:pPr>
        <w:pStyle w:val="2"/>
        <w:bidi w:val="0"/>
        <w:rPr>
          <w:rFonts w:hint="eastAsia"/>
          <w:lang w:val="en-US" w:eastAsia="zh-CN"/>
        </w:rPr>
      </w:pPr>
      <w:r>
        <w:rPr>
          <w:rFonts w:hint="eastAsia"/>
          <w:lang w:val="en-US" w:eastAsia="zh-CN"/>
        </w:rPr>
        <w:t>煤炭</w:t>
      </w:r>
    </w:p>
    <w:p>
      <w:pPr>
        <w:keepNext w:val="0"/>
        <w:keepLines w:val="0"/>
        <w:widowControl/>
        <w:suppressLineNumbers w:val="0"/>
        <w:spacing w:line="27" w:lineRule="atLeast"/>
        <w:jc w:val="left"/>
        <w:rPr>
          <w:rFonts w:hint="eastAsia" w:ascii="宋体" w:hAnsi="宋体" w:eastAsia="宋体" w:cs="宋体"/>
          <w:kern w:val="0"/>
          <w:sz w:val="24"/>
          <w:szCs w:val="24"/>
          <w:lang w:val="en-US" w:eastAsia="zh-CN" w:bidi="ar"/>
        </w:rPr>
      </w:pPr>
    </w:p>
    <w:p>
      <w:pPr>
        <w:keepNext w:val="0"/>
        <w:keepLines w:val="0"/>
        <w:widowControl/>
        <w:suppressLineNumbers w:val="0"/>
        <w:spacing w:line="27" w:lineRule="atLeast"/>
        <w:jc w:val="left"/>
        <w:rPr>
          <w:rFonts w:hint="default" w:ascii="宋体" w:hAnsi="宋体" w:eastAsia="宋体" w:cs="宋体"/>
          <w:kern w:val="0"/>
          <w:sz w:val="24"/>
          <w:szCs w:val="24"/>
          <w:lang w:val="en-US" w:eastAsia="zh-CN" w:bidi="ar"/>
        </w:rPr>
      </w:pPr>
      <w:r>
        <w:rPr>
          <w:rFonts w:ascii="Helvetica" w:hAnsi="Helvetica" w:eastAsia="Helvetica" w:cs="Helvetica"/>
          <w:i w:val="0"/>
          <w:caps w:val="0"/>
          <w:color w:val="33353C"/>
          <w:spacing w:val="0"/>
          <w:sz w:val="27"/>
          <w:szCs w:val="27"/>
        </w:rPr>
        <w:t>当然最猛的当然要数煤炭股了</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兖煤H一周就上涨了18.6%</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A股更猛</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大涨23.2%</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当然了</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兖煤不能算是简单的煤炭股</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他的煤化工才是成长看点</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作者：大道平淡平安</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链接：https://xueqiu.com/5657933100/173609512</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来源：雪球</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著作权归作者所有。商业转载请联系作者获得授权，非商业转载请注明出处。</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风险提示：本文所提到的观点仅代表个人的意见，所涉及标的不作推荐，据此买卖，风险自负。</w:t>
      </w:r>
    </w:p>
    <w:p/>
    <w:p>
      <w:pPr>
        <w:pStyle w:val="2"/>
        <w:bidi w:val="0"/>
      </w:pPr>
      <w:r>
        <w:rPr>
          <w:rFonts w:hint="default"/>
        </w:rPr>
        <w:t>通胀无牛市</w:t>
      </w:r>
    </w:p>
    <w:p>
      <w:pPr>
        <w:pStyle w:val="3"/>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俗话说，通胀无牛市。</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1970年代后面的五六年时间里，特别是1977年以后，全球通胀十分明显，大家肯定无法想象，那时候美国债的收益率一度超过了10%，是很难想象的事情。1978-1979年石油危机期间，通货膨胀达到了巅峰。。。</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这次高通胀对股市的影响是什么呢？漂亮50泡沫破裂。</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1970年代整整十年，道琼斯指数反复震荡，1979年最后一天的点位比1970年的第一天只高出了一个点，十年啊，如果投资指数基金，基本上颗粒无收。</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而漂亮50里面的麦当劳估值在泡沫巅峰是89倍市盈率，到了1980年，跌到了10倍市盈率以下，估值砍掉了80%以上。</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最近一次我们熟悉的大宗商品牛市是在21世纪的第一个十年。</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我们清晰的还记得2007年铜价站上巅峰，原油价格一路上涨，冲到2008年的140多美元一桶，那时候最赚钱是行业不是什么开发商，也不是互联网，而是煤老板！这种大宗商品的牛市断断续续的延续到了2010年。</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大宗商品的价格冲高最后一次影响股市，应该是2010年，2010年10月的煤飞色舞，至今让人记忆犹新</w:t>
      </w:r>
    </w:p>
    <w:p>
      <w:pPr>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作者：大道平淡平安</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链接：</w:t>
      </w:r>
      <w:r>
        <w:rPr>
          <w:rFonts w:hint="default" w:ascii="Helvetica" w:hAnsi="Helvetica" w:eastAsia="Helvetica" w:cs="Helvetica"/>
          <w:i w:val="0"/>
          <w:caps w:val="0"/>
          <w:color w:val="33353C"/>
          <w:spacing w:val="0"/>
          <w:sz w:val="27"/>
          <w:szCs w:val="27"/>
        </w:rPr>
        <w:fldChar w:fldCharType="begin"/>
      </w:r>
      <w:r>
        <w:rPr>
          <w:rFonts w:hint="default" w:ascii="Helvetica" w:hAnsi="Helvetica" w:eastAsia="Helvetica" w:cs="Helvetica"/>
          <w:i w:val="0"/>
          <w:caps w:val="0"/>
          <w:color w:val="33353C"/>
          <w:spacing w:val="0"/>
          <w:sz w:val="27"/>
          <w:szCs w:val="27"/>
        </w:rPr>
        <w:instrText xml:space="preserve"> HYPERLINK "https://xueqiu.com/5657933100/173609512" </w:instrText>
      </w:r>
      <w:r>
        <w:rPr>
          <w:rFonts w:hint="default" w:ascii="Helvetica" w:hAnsi="Helvetica" w:eastAsia="Helvetica" w:cs="Helvetica"/>
          <w:i w:val="0"/>
          <w:caps w:val="0"/>
          <w:color w:val="33353C"/>
          <w:spacing w:val="0"/>
          <w:sz w:val="27"/>
          <w:szCs w:val="27"/>
        </w:rPr>
        <w:fldChar w:fldCharType="separate"/>
      </w:r>
      <w:r>
        <w:rPr>
          <w:rStyle w:val="7"/>
          <w:rFonts w:hint="default" w:ascii="Helvetica" w:hAnsi="Helvetica" w:eastAsia="Helvetica" w:cs="Helvetica"/>
          <w:i w:val="0"/>
          <w:caps w:val="0"/>
          <w:spacing w:val="0"/>
          <w:sz w:val="27"/>
          <w:szCs w:val="27"/>
        </w:rPr>
        <w:t>https://xueqiu.com/5657933100/173609512</w:t>
      </w:r>
      <w:r>
        <w:rPr>
          <w:rFonts w:hint="default" w:ascii="Helvetica" w:hAnsi="Helvetica" w:eastAsia="Helvetica" w:cs="Helvetica"/>
          <w:i w:val="0"/>
          <w:caps w:val="0"/>
          <w:color w:val="33353C"/>
          <w:spacing w:val="0"/>
          <w:sz w:val="27"/>
          <w:szCs w:val="27"/>
        </w:rPr>
        <w:fldChar w:fldCharType="end"/>
      </w:r>
    </w:p>
    <w:p>
      <w:pPr>
        <w:rPr>
          <w:rFonts w:hint="default" w:ascii="Helvetica" w:hAnsi="Helvetica" w:eastAsia="Helvetica" w:cs="Helvetica"/>
          <w:i w:val="0"/>
          <w:caps w:val="0"/>
          <w:color w:val="33353C"/>
          <w:spacing w:val="0"/>
          <w:sz w:val="27"/>
          <w:szCs w:val="27"/>
        </w:rPr>
      </w:pPr>
    </w:p>
    <w:p>
      <w:pPr>
        <w:rPr>
          <w:rFonts w:hint="eastAsia" w:ascii="Helvetica" w:hAnsi="Helvetica" w:eastAsia="宋体" w:cs="Helvetica"/>
          <w:i w:val="0"/>
          <w:caps w:val="0"/>
          <w:color w:val="33353C"/>
          <w:spacing w:val="0"/>
          <w:sz w:val="27"/>
          <w:szCs w:val="27"/>
          <w:lang w:val="en-US" w:eastAsia="zh-CN"/>
        </w:rPr>
      </w:pPr>
      <w:r>
        <w:rPr>
          <w:rFonts w:hint="default" w:ascii="Helvetica" w:hAnsi="Helvetica" w:eastAsia="Helvetica" w:cs="Helvetica"/>
          <w:i w:val="0"/>
          <w:caps w:val="0"/>
          <w:color w:val="33353C"/>
          <w:spacing w:val="0"/>
          <w:sz w:val="27"/>
          <w:szCs w:val="27"/>
        </w:rPr>
        <w:br w:type="textWrapping"/>
      </w:r>
      <w:r>
        <w:rPr>
          <w:rStyle w:val="8"/>
          <w:rFonts w:hint="eastAsia"/>
          <w:lang w:val="en-US" w:eastAsia="zh-CN"/>
        </w:rPr>
        <w:t xml:space="preserve">券商 </w:t>
      </w:r>
    </w:p>
    <w:p>
      <w:pPr>
        <w:rPr>
          <w:rFonts w:hint="eastAsia" w:ascii="Helvetica" w:hAnsi="Helvetica" w:eastAsia="宋体" w:cs="Helvetica"/>
          <w:i w:val="0"/>
          <w:caps w:val="0"/>
          <w:color w:val="33353C"/>
          <w:spacing w:val="0"/>
          <w:sz w:val="27"/>
          <w:szCs w:val="27"/>
          <w:lang w:val="en-US" w:eastAsia="zh-CN"/>
        </w:rPr>
      </w:pPr>
    </w:p>
    <w:p>
      <w:pPr>
        <w:rPr>
          <w:rFonts w:ascii="宋体" w:hAnsi="宋体" w:eastAsia="宋体" w:cs="宋体"/>
          <w:b w:val="0"/>
          <w:i w:val="0"/>
          <w:caps w:val="0"/>
          <w:color w:val="000000"/>
          <w:spacing w:val="0"/>
          <w:sz w:val="21"/>
          <w:szCs w:val="21"/>
          <w:shd w:val="clear" w:fill="FFFFFF"/>
        </w:rPr>
      </w:pPr>
      <w:r>
        <w:rPr>
          <w:rFonts w:ascii="宋体" w:hAnsi="宋体" w:eastAsia="宋体" w:cs="宋体"/>
          <w:b w:val="0"/>
          <w:i w:val="0"/>
          <w:caps w:val="0"/>
          <w:color w:val="000000"/>
          <w:spacing w:val="0"/>
          <w:sz w:val="21"/>
          <w:szCs w:val="21"/>
          <w:shd w:val="clear" w:fill="FFFFFF"/>
        </w:rPr>
        <w:t>原标题：“牛”转乾坤！28家券商成绩单出炉，中信、国君、广发盈利超百亿！这15家净利润增幅超40%，最高暴增3.25倍</w:t>
      </w:r>
    </w:p>
    <w:p>
      <w:pPr>
        <w:rPr>
          <w:rFonts w:ascii="宋体" w:hAnsi="宋体" w:eastAsia="宋体" w:cs="宋体"/>
          <w:b w:val="0"/>
          <w:i w:val="0"/>
          <w:caps w:val="0"/>
          <w:color w:val="000000"/>
          <w:spacing w:val="0"/>
          <w:sz w:val="21"/>
          <w:szCs w:val="21"/>
          <w:shd w:val="clear" w:fill="FFFFFF"/>
        </w:rPr>
      </w:pPr>
    </w:p>
    <w:p>
      <w:pPr>
        <w:rPr>
          <w:rFonts w:hint="eastAsia" w:ascii="宋体" w:hAnsi="宋体" w:eastAsia="宋体" w:cs="宋体"/>
          <w:b w:val="0"/>
          <w:i w:val="0"/>
          <w:caps w:val="0"/>
          <w:color w:val="000000"/>
          <w:spacing w:val="0"/>
          <w:sz w:val="21"/>
          <w:szCs w:val="21"/>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2020年，上证综指上涨13.87%，中债总净价(总值)指数下降0.42%，沪深两市股票</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基金交易</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额同比增加62.35%，A股市场IPO承销额同比增长86.55%。在此背景下，券商的经纪业务、投资交易和投行业务大幅增长，券业普遍交出了不错的成绩单。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截至目前，已经有15家上市券商发布了2020年</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业绩</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快报，13家券商发布了2020年业绩预告。已经有</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中信证券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国泰君安</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和</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广发证券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3家确认进入“百亿</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净利润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俱乐部”。28家券商中，有15家券商的净利润同比增速超过40%。</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光大证券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2020年净利润同比大增3.25倍，</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兴业证券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净利润也实现翻番。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伴随着业绩普遍向好，从严计提资产减值准备成为绝大部分券商的共同选择。截至目前，已经有至少18家券商就2020年度业绩发布了计提</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信用</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减值</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公告</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，共计减值203亿元。其中，主要是涉及股票</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质押</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业务对</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买入返售金融资产</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进行计提。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Style w:val="6"/>
          <w:rFonts w:hint="eastAsia" w:ascii="宋体" w:hAnsi="宋体" w:eastAsia="宋体" w:cs="宋体"/>
          <w:b/>
          <w:i w:val="0"/>
          <w:caps w:val="0"/>
          <w:color w:val="000000"/>
          <w:spacing w:val="0"/>
          <w:sz w:val="21"/>
          <w:szCs w:val="21"/>
          <w:bdr w:val="none" w:color="auto" w:sz="0" w:space="0"/>
          <w:shd w:val="clear" w:fill="FFFFFF"/>
        </w:rPr>
        <w:t>中信、</w:t>
      </w:r>
      <w:r>
        <w:rPr>
          <w:rStyle w:val="6"/>
          <w:rFonts w:hint="eastAsia" w:ascii="宋体" w:hAnsi="宋体" w:eastAsia="宋体" w:cs="宋体"/>
          <w:b/>
          <w:i w:val="0"/>
          <w:caps w:val="0"/>
          <w:color w:val="043396"/>
          <w:spacing w:val="0"/>
          <w:sz w:val="21"/>
          <w:szCs w:val="21"/>
          <w:u w:val="none"/>
          <w:bdr w:val="none" w:color="auto" w:sz="0" w:space="0"/>
          <w:shd w:val="clear" w:fill="FFFFFF"/>
        </w:rPr>
        <w:fldChar w:fldCharType="begin"/>
      </w:r>
      <w:r>
        <w:rPr>
          <w:rStyle w:val="6"/>
          <w:rFonts w:hint="eastAsia" w:ascii="宋体" w:hAnsi="宋体" w:eastAsia="宋体" w:cs="宋体"/>
          <w:b/>
          <w:i w:val="0"/>
          <w:caps w:val="0"/>
          <w:color w:val="043396"/>
          <w:spacing w:val="0"/>
          <w:sz w:val="21"/>
          <w:szCs w:val="21"/>
          <w:u w:val="none"/>
          <w:bdr w:val="none" w:color="auto" w:sz="0" w:space="0"/>
          <w:shd w:val="clear" w:fill="FFFFFF"/>
        </w:rPr>
        <w:instrText xml:space="preserve"> HYPERLINK "https://pcarticle.eastmoney.com/pcarticle/javascript:;" </w:instrText>
      </w:r>
      <w:r>
        <w:rPr>
          <w:rStyle w:val="6"/>
          <w:rFonts w:hint="eastAsia" w:ascii="宋体" w:hAnsi="宋体" w:eastAsia="宋体" w:cs="宋体"/>
          <w:b/>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i w:val="0"/>
          <w:caps w:val="0"/>
          <w:color w:val="043396"/>
          <w:spacing w:val="0"/>
          <w:sz w:val="21"/>
          <w:szCs w:val="21"/>
          <w:u w:val="none"/>
          <w:bdr w:val="none" w:color="auto" w:sz="0" w:space="0"/>
          <w:shd w:val="clear" w:fill="FFFFFF"/>
        </w:rPr>
        <w:t>国泰君安</w:t>
      </w:r>
      <w:r>
        <w:rPr>
          <w:rStyle w:val="6"/>
          <w:rFonts w:hint="eastAsia" w:ascii="宋体" w:hAnsi="宋体" w:eastAsia="宋体" w:cs="宋体"/>
          <w:b/>
          <w:i w:val="0"/>
          <w:caps w:val="0"/>
          <w:color w:val="043396"/>
          <w:spacing w:val="0"/>
          <w:sz w:val="21"/>
          <w:szCs w:val="21"/>
          <w:u w:val="none"/>
          <w:bdr w:val="none" w:color="auto" w:sz="0" w:space="0"/>
          <w:shd w:val="clear" w:fill="FFFFFF"/>
        </w:rPr>
        <w:fldChar w:fldCharType="end"/>
      </w:r>
      <w:r>
        <w:rPr>
          <w:rStyle w:val="6"/>
          <w:rFonts w:hint="eastAsia" w:ascii="宋体" w:hAnsi="宋体" w:eastAsia="宋体" w:cs="宋体"/>
          <w:b/>
          <w:i w:val="0"/>
          <w:caps w:val="0"/>
          <w:color w:val="000000"/>
          <w:spacing w:val="0"/>
          <w:sz w:val="21"/>
          <w:szCs w:val="21"/>
          <w:bdr w:val="none" w:color="auto" w:sz="0" w:space="0"/>
          <w:shd w:val="clear" w:fill="FFFFFF"/>
        </w:rPr>
        <w:t>、广发净利润超百亿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15家发布业绩快报的券商中，</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中信证券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国泰君安</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广发证券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中国银河</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中信建投</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东方证券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浙商证券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和</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中泰证券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8家券商的营收超百亿。</w:t>
      </w:r>
    </w:p>
    <w:p>
      <w:pPr>
        <w:rPr>
          <w:rFonts w:hint="default" w:ascii="Helvetica" w:hAnsi="Helvetica" w:eastAsia="宋体" w:cs="Helvetica"/>
          <w:i w:val="0"/>
          <w:caps w:val="0"/>
          <w:color w:val="33353C"/>
          <w:spacing w:val="0"/>
          <w:sz w:val="27"/>
          <w:szCs w:val="27"/>
          <w:lang w:val="en-US" w:eastAsia="zh-CN"/>
        </w:rPr>
      </w:pPr>
    </w:p>
    <w:p>
      <w:pPr>
        <w:rPr>
          <w:rFonts w:hint="default" w:ascii="Helvetica" w:hAnsi="Helvetica" w:eastAsia="宋体" w:cs="Helvetica"/>
          <w:i w:val="0"/>
          <w:caps w:val="0"/>
          <w:color w:val="33353C"/>
          <w:spacing w:val="0"/>
          <w:sz w:val="27"/>
          <w:szCs w:val="27"/>
          <w:lang w:val="en-US" w:eastAsia="zh-CN"/>
        </w:rPr>
      </w:pPr>
    </w:p>
    <w:p>
      <w:pPr>
        <w:pStyle w:val="2"/>
        <w:keepNext w:val="0"/>
        <w:keepLines w:val="0"/>
        <w:widowControl/>
        <w:suppressLineNumbers w:val="0"/>
        <w:pBdr>
          <w:top w:val="none" w:color="auto" w:sz="0" w:space="0"/>
          <w:left w:val="none" w:color="auto" w:sz="0" w:space="0"/>
        </w:pBdr>
        <w:spacing w:after="225" w:afterAutospacing="0" w:line="600" w:lineRule="atLeast"/>
        <w:ind w:left="0" w:firstLine="0"/>
        <w:jc w:val="left"/>
        <w:rPr>
          <w:rFonts w:ascii="黑体" w:hAnsi="宋体" w:eastAsia="黑体" w:cs="黑体"/>
          <w:b/>
          <w:i w:val="0"/>
          <w:caps w:val="0"/>
          <w:color w:val="3F3F3F"/>
          <w:spacing w:val="-15"/>
          <w:sz w:val="42"/>
          <w:szCs w:val="42"/>
        </w:rPr>
      </w:pPr>
      <w:r>
        <w:rPr>
          <w:rFonts w:ascii="黑体" w:hAnsi="宋体" w:eastAsia="黑体" w:cs="黑体"/>
          <w:b/>
          <w:i w:val="0"/>
          <w:caps w:val="0"/>
          <w:color w:val="3F3F3F"/>
          <w:spacing w:val="-15"/>
          <w:sz w:val="42"/>
          <w:szCs w:val="42"/>
          <w:bdr w:val="none" w:color="auto" w:sz="0" w:space="0"/>
        </w:rPr>
        <w:t>大资金狙击券商龙头 抢筹近7亿元！资金连续买入股名单曝光</w:t>
      </w:r>
    </w:p>
    <w:p>
      <w:pPr>
        <w:rPr>
          <w:rFonts w:hint="default" w:ascii="Helvetica" w:hAnsi="Helvetica" w:eastAsia="宋体" w:cs="Helvetica"/>
          <w:i w:val="0"/>
          <w:caps w:val="0"/>
          <w:color w:val="33353C"/>
          <w:spacing w:val="0"/>
          <w:sz w:val="27"/>
          <w:szCs w:val="27"/>
          <w:lang w:val="en-US" w:eastAsia="zh-CN"/>
        </w:rPr>
      </w:pPr>
    </w:p>
    <w:p>
      <w:pPr>
        <w:rPr>
          <w:rFonts w:ascii="宋体" w:hAnsi="宋体" w:eastAsia="宋体" w:cs="宋体"/>
          <w:b w:val="0"/>
          <w:i w:val="0"/>
          <w:caps w:val="0"/>
          <w:color w:val="454545"/>
          <w:spacing w:val="0"/>
          <w:sz w:val="21"/>
          <w:szCs w:val="21"/>
          <w:shd w:val="clear" w:fill="F6F6F6"/>
        </w:rPr>
      </w:pPr>
      <w:r>
        <w:rPr>
          <w:rFonts w:ascii="宋体" w:hAnsi="宋体" w:eastAsia="宋体" w:cs="宋体"/>
          <w:b w:val="0"/>
          <w:i w:val="0"/>
          <w:caps w:val="0"/>
          <w:color w:val="454545"/>
          <w:spacing w:val="0"/>
          <w:sz w:val="21"/>
          <w:szCs w:val="21"/>
          <w:shd w:val="clear" w:fill="F6F6F6"/>
        </w:rPr>
        <w:t>【大资金狙击券商龙头 抢筹近7亿元！资金连续买入股名单曝光】个股来看，市场41只个股主力资金净流入超亿元。光大证券资金流入6.74亿元居首，股价涨停。券商股今日涨幅居前，行业资金流入达到15亿元，浙商证券涨幅超5%，东兴证券、国金证券涨幅超4%，资金面上，东方财富、兴业证券流入超2亿元，浙商证券、华泰证券、招商证券、国金证券等流入超亿元。（数据宝）</w:t>
      </w:r>
    </w:p>
    <w:p>
      <w:pPr>
        <w:rPr>
          <w:rFonts w:ascii="宋体" w:hAnsi="宋体" w:eastAsia="宋体" w:cs="宋体"/>
          <w:b w:val="0"/>
          <w:i w:val="0"/>
          <w:caps w:val="0"/>
          <w:color w:val="454545"/>
          <w:spacing w:val="0"/>
          <w:sz w:val="21"/>
          <w:szCs w:val="21"/>
          <w:shd w:val="clear" w:fill="F6F6F6"/>
        </w:rPr>
      </w:pPr>
    </w:p>
    <w:p>
      <w:pPr>
        <w:rPr>
          <w:rFonts w:ascii="宋体" w:hAnsi="宋体" w:eastAsia="宋体" w:cs="宋体"/>
          <w:b w:val="0"/>
          <w:i w:val="0"/>
          <w:caps w:val="0"/>
          <w:color w:val="454545"/>
          <w:spacing w:val="0"/>
          <w:sz w:val="21"/>
          <w:szCs w:val="21"/>
          <w:shd w:val="clear" w:fill="F6F6F6"/>
        </w:rPr>
      </w:pPr>
    </w:p>
    <w:p>
      <w:pPr>
        <w:rPr>
          <w:rFonts w:ascii="宋体" w:hAnsi="宋体" w:eastAsia="宋体" w:cs="宋体"/>
          <w:b w:val="0"/>
          <w:i w:val="0"/>
          <w:caps w:val="0"/>
          <w:color w:val="454545"/>
          <w:spacing w:val="0"/>
          <w:sz w:val="21"/>
          <w:szCs w:val="21"/>
          <w:shd w:val="clear" w:fill="F6F6F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bdr w:val="none" w:color="auto" w:sz="0" w:space="0"/>
          <w:shd w:val="clear" w:fill="FFFFFF"/>
        </w:rPr>
      </w:pPr>
      <w:r>
        <w:rPr>
          <w:rFonts w:hint="eastAsia" w:ascii="宋体" w:hAnsi="宋体" w:eastAsia="宋体" w:cs="宋体"/>
          <w:b w:val="0"/>
          <w:i w:val="0"/>
          <w:caps w:val="0"/>
          <w:color w:val="000000"/>
          <w:spacing w:val="0"/>
          <w:sz w:val="21"/>
          <w:szCs w:val="21"/>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bdr w:val="none" w:color="auto" w:sz="0" w:space="0"/>
          <w:shd w:val="clear" w:fill="FFFFFF"/>
        </w:rPr>
      </w:pPr>
    </w:p>
    <w:p>
      <w:pPr>
        <w:pStyle w:val="2"/>
        <w:bidi w:val="0"/>
        <w:rPr>
          <w:rFonts w:hint="eastAsia" w:ascii="宋体" w:hAnsi="宋体" w:eastAsia="宋体" w:cs="宋体"/>
          <w:b w:val="0"/>
          <w:i w:val="0"/>
          <w:caps w:val="0"/>
          <w:color w:val="000000"/>
          <w:spacing w:val="0"/>
          <w:szCs w:val="21"/>
          <w:bdr w:val="none" w:color="auto" w:sz="0" w:space="0"/>
          <w:shd w:val="clear" w:fill="FFFFFF"/>
        </w:rPr>
      </w:pPr>
      <w:r>
        <w:rPr>
          <w:rFonts w:hint="eastAsia"/>
        </w:rPr>
        <w:fldChar w:fldCharType="begin"/>
      </w:r>
      <w:r>
        <w:rPr>
          <w:rFonts w:hint="eastAsia"/>
        </w:rPr>
        <w:instrText xml:space="preserve"> HYPERLINK "https://pcarticle.eastmoney.com/pcarticle/javascript:;" </w:instrText>
      </w:r>
      <w:r>
        <w:rPr>
          <w:rFonts w:hint="eastAsia"/>
        </w:rPr>
        <w:fldChar w:fldCharType="separate"/>
      </w:r>
      <w:r>
        <w:rPr>
          <w:rStyle w:val="7"/>
          <w:rFonts w:hint="eastAsia" w:ascii="宋体" w:hAnsi="宋体" w:eastAsia="宋体" w:cs="宋体"/>
          <w:b w:val="0"/>
          <w:i w:val="0"/>
          <w:caps w:val="0"/>
          <w:color w:val="043396"/>
          <w:spacing w:val="0"/>
          <w:szCs w:val="21"/>
          <w:u w:val="none"/>
          <w:shd w:val="clear" w:fill="FFFFFF"/>
        </w:rPr>
        <w:t>利尔化学</w:t>
      </w:r>
      <w:r>
        <w:rPr>
          <w:rFonts w:hint="eastAsia"/>
        </w:rPr>
        <w:fldChar w:fldCharType="end"/>
      </w:r>
      <w:r>
        <w:rPr>
          <w:rFonts w:hint="eastAsia"/>
        </w:rPr>
        <w:t>3月5日晚发布2020</w:t>
      </w:r>
      <w:r>
        <w:rPr>
          <w:rFonts w:hint="eastAsia"/>
        </w:rPr>
        <w:fldChar w:fldCharType="begin"/>
      </w:r>
      <w:r>
        <w:rPr>
          <w:rFonts w:hint="eastAsia"/>
        </w:rPr>
        <w:instrText xml:space="preserve"> HYPERLINK "https://pcarticle.eastmoney.com/pcarticle/javascript:;" \t "https://pcarticle.eastmoney.com/pcarticle/_blank" </w:instrText>
      </w:r>
      <w:r>
        <w:rPr>
          <w:rFonts w:hint="eastAsia"/>
        </w:rPr>
        <w:fldChar w:fldCharType="separate"/>
      </w:r>
      <w:r>
        <w:rPr>
          <w:rStyle w:val="7"/>
          <w:rFonts w:hint="eastAsia" w:ascii="宋体" w:hAnsi="宋体" w:eastAsia="宋体" w:cs="宋体"/>
          <w:b w:val="0"/>
          <w:i w:val="0"/>
          <w:caps w:val="0"/>
          <w:color w:val="043396"/>
          <w:spacing w:val="0"/>
          <w:szCs w:val="21"/>
          <w:u w:val="none"/>
          <w:shd w:val="clear" w:fill="FFFFFF"/>
        </w:rPr>
        <w:t>年度报告</w:t>
      </w:r>
      <w:r>
        <w:rPr>
          <w:rFonts w:hint="eastAsia"/>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ascii="宋体" w:hAnsi="宋体" w:eastAsia="宋体" w:cs="宋体"/>
          <w:b w:val="0"/>
          <w:i w:val="0"/>
          <w:caps w:val="0"/>
          <w:color w:val="000000"/>
          <w:spacing w:val="0"/>
          <w:sz w:val="21"/>
          <w:szCs w:val="21"/>
        </w:rPr>
      </w:pP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利尔化学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3月5日晚发布2020</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年度报告</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，2020年</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公司</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实现</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营业收入</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49.69亿元，</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同比</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增长19.33%；实现归属于上市公司</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股东</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的</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净利润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6.12亿元，</w:t>
      </w:r>
      <w:r>
        <w:rPr>
          <w:rFonts w:hint="eastAsia" w:ascii="宋体" w:hAnsi="宋体" w:eastAsia="宋体" w:cs="宋体"/>
          <w:b w:val="0"/>
          <w:i w:val="0"/>
          <w:caps w:val="0"/>
          <w:color w:val="C00000"/>
          <w:spacing w:val="0"/>
          <w:sz w:val="21"/>
          <w:szCs w:val="21"/>
          <w:bdr w:val="none" w:color="auto" w:sz="0" w:space="0"/>
          <w:shd w:val="clear" w:fill="FFFFFF"/>
        </w:rPr>
        <w:t>同比增长96.76%；基本每股收益1.17元</w:t>
      </w:r>
      <w:r>
        <w:rPr>
          <w:rFonts w:hint="eastAsia" w:ascii="宋体" w:hAnsi="宋体" w:eastAsia="宋体" w:cs="宋体"/>
          <w:b w:val="0"/>
          <w:i w:val="0"/>
          <w:caps w:val="0"/>
          <w:color w:val="000000"/>
          <w:spacing w:val="0"/>
          <w:sz w:val="21"/>
          <w:szCs w:val="21"/>
          <w:bdr w:val="none" w:color="auto" w:sz="0" w:space="0"/>
          <w:shd w:val="clear" w:fill="FFFFFF"/>
        </w:rPr>
        <w:t>。公司拟向全体股东每10股派发现金红利2元(含税)。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年报显示，2020年，公司全力推进建设广安基地甲基二氯化磷项目，目前项目已处于正常的试运行状态。同时，根据</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市场</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变化情况，公司及时调整营销策略，并对主要老</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产品</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进行深入研究分析，加深与国内外</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大客户</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的战略合作；为降低疫情影响，公司成功开拓线上营销，对新产品重点开展中国区的市场推广，公司年度销售稳定增长。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此外，公司提升精细化管理水平，通过对</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工艺</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本质的探索研究，进行技改优化，提升草铵膦、氟草烟、毒莠定、丙炔氟草胺等部分产品产能和</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品质</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；同时加强</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关键岗位</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人才储备培养，对一线</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岗位</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推行技能清单训练，并取得一定成效。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在经营计划中，</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利尔化学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透露，2021年将实现广安甲基二氯化磷项目安全稳定运行和扩能，提升公司草铵膦产能和市场竞争力，同时确保各基地新项目建设按计划落地。增强市场分析能力，策划全球市场布局，推</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动产</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品有效销售；提升新</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产品市场</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布局及登记策划、加强老产品在新兴市场的深度开拓；优化营销中心组织架构，推进国际制剂业务发展。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此外，公司还将加大对氯虫苯甲酰胺、唑啉草酯、烟嘧磺隆、噻菌灵等新产品的工艺技术开发力度，搭建多功能研发和中试平台，改进中试装置，提升研发效率；继续对吡啶氯化类、草铵膦、丙炔氟草胺、氟环唑等现有产品进行技术优化，保障公司可持续发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利尔化学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十分看好行业发展前景，其指出，在国家大力倡导绿色发展、高质量发展的大环境下，高毒农药的使用量将持续减少，环保监管措施将日趋严苛，</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供给</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侧结构性改革将不断深化，农药</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产业</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环境管制将更加趋严，</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企业</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将加快绿色发展的转型升级，</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产业集中度</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将进一步提高。同时，随着全球人口的不断增加，粮食需求不断增长及转基因作物的飞速发展，全球农药市场未来还是将呈现稳步增长的趋势。除草剂作为第一大作物保护产品具有明显的增长优势，特别是新灭生性除草剂是大发展方向，复配剂型也会得到相应发展。而且伴随着四大农化巨头的市场整合，农药全球</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产业链</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将进行重构，第二、第三梯队的公司将获得新的行业机会及增长空间。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420" w:lineRule="atLeast"/>
        <w:ind w:left="0" w:right="0" w:firstLine="0"/>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bdr w:val="none" w:color="auto" w:sz="0" w:space="0"/>
          <w:shd w:val="clear" w:fill="FFFFFF"/>
        </w:rPr>
        <w:t>　　利尔化学是全球范围内继美国</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陶氏</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益农之后最先全面掌握氰基吡啶氯化</w:t>
      </w:r>
      <w:r>
        <w:rPr>
          <w:rFonts w:hint="eastAsia" w:ascii="宋体" w:hAnsi="宋体" w:eastAsia="宋体" w:cs="宋体"/>
          <w:b w:val="0"/>
          <w:i w:val="0"/>
          <w:caps w:val="0"/>
          <w:color w:val="043396"/>
          <w:spacing w:val="0"/>
          <w:sz w:val="21"/>
          <w:szCs w:val="21"/>
          <w:u w:val="none"/>
          <w:bdr w:val="none" w:color="auto" w:sz="0" w:space="0"/>
          <w:shd w:val="clear" w:fill="FFFFFF"/>
        </w:rPr>
        <w:fldChar w:fldCharType="begin"/>
      </w:r>
      <w:r>
        <w:rPr>
          <w:rFonts w:hint="eastAsia" w:ascii="宋体" w:hAnsi="宋体" w:eastAsia="宋体" w:cs="宋体"/>
          <w:b w:val="0"/>
          <w:i w:val="0"/>
          <w:caps w:val="0"/>
          <w:color w:val="043396"/>
          <w:spacing w:val="0"/>
          <w:sz w:val="21"/>
          <w:szCs w:val="21"/>
          <w:u w:val="none"/>
          <w:bdr w:val="none" w:color="auto" w:sz="0" w:space="0"/>
          <w:shd w:val="clear" w:fill="FFFFFF"/>
        </w:rPr>
        <w:instrText xml:space="preserve"> HYPERLINK "https://pcarticle.eastmoney.com/pcarticle/javascript:;" \t "https://pcarticle.eastmoney.com/pcarticle/_blank" </w:instrText>
      </w:r>
      <w:r>
        <w:rPr>
          <w:rFonts w:hint="eastAsia" w:ascii="宋体" w:hAnsi="宋体" w:eastAsia="宋体" w:cs="宋体"/>
          <w:b w:val="0"/>
          <w:i w:val="0"/>
          <w:caps w:val="0"/>
          <w:color w:val="043396"/>
          <w:spacing w:val="0"/>
          <w:sz w:val="21"/>
          <w:szCs w:val="21"/>
          <w:u w:val="none"/>
          <w:bdr w:val="none" w:color="auto" w:sz="0" w:space="0"/>
          <w:shd w:val="clear" w:fill="FFFFFF"/>
        </w:rPr>
        <w:fldChar w:fldCharType="separate"/>
      </w:r>
      <w:r>
        <w:rPr>
          <w:rStyle w:val="7"/>
          <w:rFonts w:hint="eastAsia" w:ascii="宋体" w:hAnsi="宋体" w:eastAsia="宋体" w:cs="宋体"/>
          <w:b w:val="0"/>
          <w:i w:val="0"/>
          <w:caps w:val="0"/>
          <w:color w:val="043396"/>
          <w:spacing w:val="0"/>
          <w:sz w:val="21"/>
          <w:szCs w:val="21"/>
          <w:u w:val="none"/>
          <w:bdr w:val="none" w:color="auto" w:sz="0" w:space="0"/>
          <w:shd w:val="clear" w:fill="FFFFFF"/>
        </w:rPr>
        <w:t>工业</w:t>
      </w:r>
      <w:r>
        <w:rPr>
          <w:rFonts w:hint="eastAsia" w:ascii="宋体" w:hAnsi="宋体" w:eastAsia="宋体" w:cs="宋体"/>
          <w:b w:val="0"/>
          <w:i w:val="0"/>
          <w:caps w:val="0"/>
          <w:color w:val="043396"/>
          <w:spacing w:val="0"/>
          <w:sz w:val="21"/>
          <w:szCs w:val="21"/>
          <w:u w:val="none"/>
          <w:bdr w:val="none" w:color="auto" w:sz="0" w:space="0"/>
          <w:shd w:val="clear" w:fill="FFFFFF"/>
        </w:rPr>
        <w:fldChar w:fldCharType="end"/>
      </w:r>
      <w:r>
        <w:rPr>
          <w:rFonts w:hint="eastAsia" w:ascii="宋体" w:hAnsi="宋体" w:eastAsia="宋体" w:cs="宋体"/>
          <w:b w:val="0"/>
          <w:i w:val="0"/>
          <w:caps w:val="0"/>
          <w:color w:val="000000"/>
          <w:spacing w:val="0"/>
          <w:sz w:val="21"/>
          <w:szCs w:val="21"/>
          <w:bdr w:val="none" w:color="auto" w:sz="0" w:space="0"/>
          <w:shd w:val="clear" w:fill="FFFFFF"/>
        </w:rPr>
        <w:t>化关键技术的企业，相继开发出了氯代吡啶系列产品中的毕克草、毒莠定、氟草烟、绿草定等除草剂产品。目前公司是国内最大的氯代吡啶类除草剂系列农药产品研发及生产基地，以及国内最大规模的草铵膦原药生产企业。</w:t>
      </w:r>
    </w:p>
    <w:p>
      <w:pPr>
        <w:rPr>
          <w:rFonts w:hint="default" w:ascii="宋体" w:hAnsi="宋体" w:eastAsia="宋体" w:cs="宋体"/>
          <w:b w:val="0"/>
          <w:i w:val="0"/>
          <w:caps w:val="0"/>
          <w:color w:val="454545"/>
          <w:spacing w:val="0"/>
          <w:sz w:val="21"/>
          <w:szCs w:val="21"/>
          <w:shd w:val="clear" w:fill="F6F6F6"/>
          <w:lang w:val="en-US" w:eastAsia="zh-CN"/>
        </w:rPr>
      </w:pPr>
    </w:p>
    <w:p>
      <w:pPr>
        <w:rPr>
          <w:rFonts w:hint="default" w:ascii="Helvetica" w:hAnsi="Helvetica" w:eastAsia="宋体" w:cs="Helvetica"/>
          <w:i w:val="0"/>
          <w:caps w:val="0"/>
          <w:color w:val="33353C"/>
          <w:spacing w:val="0"/>
          <w:sz w:val="27"/>
          <w:szCs w:val="27"/>
          <w:lang w:val="en-US" w:eastAsia="zh-CN"/>
        </w:rPr>
      </w:pPr>
    </w:p>
    <w:p>
      <w:pPr>
        <w:pStyle w:val="2"/>
        <w:bidi w:val="0"/>
        <w:rPr>
          <w:rFonts w:hint="eastAsia"/>
          <w:lang w:val="en-US" w:eastAsia="zh-CN"/>
        </w:rPr>
      </w:pPr>
      <w:r>
        <w:rPr>
          <w:rFonts w:hint="eastAsia"/>
          <w:lang w:val="en-US" w:eastAsia="zh-CN"/>
        </w:rPr>
        <w:t>交易策略</w:t>
      </w:r>
    </w:p>
    <w:p>
      <w:pPr>
        <w:rPr>
          <w:rFonts w:hint="eastAsia" w:ascii="Helvetica" w:hAnsi="Helvetica" w:eastAsia="宋体" w:cs="Helvetica"/>
          <w:i w:val="0"/>
          <w:caps w:val="0"/>
          <w:color w:val="33353C"/>
          <w:spacing w:val="0"/>
          <w:sz w:val="27"/>
          <w:szCs w:val="27"/>
          <w:lang w:val="en-US" w:eastAsia="zh-CN"/>
        </w:rPr>
      </w:pPr>
    </w:p>
    <w:p>
      <w:pPr>
        <w:numPr>
          <w:ilvl w:val="0"/>
          <w:numId w:val="1"/>
        </w:numPr>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TCL低吸加仓，加仓价位8.9附近。</w:t>
      </w:r>
    </w:p>
    <w:p>
      <w:pPr>
        <w:widowControl w:val="0"/>
        <w:numPr>
          <w:ilvl w:val="0"/>
          <w:numId w:val="1"/>
        </w:numPr>
        <w:ind w:left="0" w:leftChars="0" w:firstLine="0" w:firstLineChars="0"/>
        <w:jc w:val="both"/>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 xml:space="preserve">利尔化学，略超机构预测，在27.1附近减仓。  </w:t>
      </w:r>
    </w:p>
    <w:p>
      <w:pPr>
        <w:widowControl w:val="0"/>
        <w:numPr>
          <w:ilvl w:val="0"/>
          <w:numId w:val="1"/>
        </w:numPr>
        <w:ind w:left="0" w:leftChars="0" w:firstLine="0" w:firstLineChars="0"/>
        <w:jc w:val="both"/>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志邦家居， 高抛之后等待</w:t>
      </w:r>
      <w:bookmarkStart w:id="0" w:name="_GoBack"/>
      <w:bookmarkEnd w:id="0"/>
      <w:r>
        <w:rPr>
          <w:rFonts w:hint="eastAsia" w:ascii="Helvetica" w:hAnsi="Helvetica" w:eastAsia="宋体" w:cs="Helvetica"/>
          <w:i w:val="0"/>
          <w:caps w:val="0"/>
          <w:color w:val="33353C"/>
          <w:spacing w:val="0"/>
          <w:sz w:val="27"/>
          <w:szCs w:val="27"/>
          <w:lang w:val="en-US" w:eastAsia="zh-CN"/>
        </w:rPr>
        <w:t xml:space="preserve">低吸，摊低成本。  </w:t>
      </w:r>
    </w:p>
    <w:p>
      <w:pPr>
        <w:widowControl w:val="0"/>
        <w:numPr>
          <w:ilvl w:val="0"/>
          <w:numId w:val="1"/>
        </w:numPr>
        <w:ind w:left="0" w:leftChars="0" w:firstLine="0" w:firstLineChars="0"/>
        <w:jc w:val="both"/>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 xml:space="preserve">平安银行，准备低吸，加仓价位在22元附近。 </w:t>
      </w:r>
    </w:p>
    <w:p>
      <w:pPr>
        <w:widowControl w:val="0"/>
        <w:numPr>
          <w:ilvl w:val="0"/>
          <w:numId w:val="1"/>
        </w:numPr>
        <w:ind w:left="0" w:leftChars="0" w:firstLine="0" w:firstLineChars="0"/>
        <w:jc w:val="both"/>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 xml:space="preserve">三七互娱，低吸，加仓，在29.3附近加仓。  </w:t>
      </w:r>
    </w:p>
    <w:p>
      <w:pPr>
        <w:widowControl w:val="0"/>
        <w:numPr>
          <w:ilvl w:val="0"/>
          <w:numId w:val="1"/>
        </w:numPr>
        <w:ind w:left="0" w:leftChars="0" w:firstLine="0" w:firstLineChars="0"/>
        <w:jc w:val="both"/>
        <w:rPr>
          <w:rFonts w:hint="default" w:ascii="Helvetica" w:hAnsi="Helvetica" w:eastAsia="宋体" w:cs="Helvetica"/>
          <w:i w:val="0"/>
          <w:caps w:val="0"/>
          <w:color w:val="33353C"/>
          <w:spacing w:val="0"/>
          <w:sz w:val="27"/>
          <w:szCs w:val="27"/>
          <w:lang w:val="en-US" w:eastAsia="zh-CN"/>
        </w:rPr>
      </w:pPr>
      <w:r>
        <w:rPr>
          <w:rFonts w:hint="eastAsia" w:ascii="Helvetica" w:hAnsi="Helvetica" w:eastAsia="宋体" w:cs="Helvetica"/>
          <w:i w:val="0"/>
          <w:caps w:val="0"/>
          <w:color w:val="33353C"/>
          <w:spacing w:val="0"/>
          <w:sz w:val="27"/>
          <w:szCs w:val="27"/>
          <w:lang w:val="en-US" w:eastAsia="zh-CN"/>
        </w:rPr>
        <w:t>通威股份，等待，在</w:t>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pStyle w:val="2"/>
        <w:bidi w:val="0"/>
        <w:rPr>
          <w:rFonts w:hint="eastAsia"/>
          <w:lang w:val="en-US" w:eastAsia="zh-CN"/>
        </w:rPr>
      </w:pPr>
      <w:r>
        <w:rPr>
          <w:rFonts w:hint="eastAsia"/>
          <w:lang w:val="en-US" w:eastAsia="zh-CN"/>
        </w:rPr>
        <w:t>净资产收益率</w:t>
      </w:r>
    </w:p>
    <w:p>
      <w:pPr>
        <w:widowControl w:val="0"/>
        <w:numPr>
          <w:numId w:val="0"/>
        </w:numPr>
        <w:jc w:val="both"/>
        <w:rPr>
          <w:rFonts w:hint="eastAsia"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r>
        <w:rPr>
          <w:rFonts w:hint="default" w:ascii="Helvetica" w:hAnsi="Helvetica" w:eastAsia="宋体" w:cs="Helvetica"/>
          <w:i w:val="0"/>
          <w:caps w:val="0"/>
          <w:color w:val="33353C"/>
          <w:spacing w:val="0"/>
          <w:sz w:val="27"/>
          <w:szCs w:val="27"/>
          <w:lang w:val="en-US" w:eastAsia="zh-CN"/>
        </w:rPr>
        <w:fldChar w:fldCharType="begin"/>
      </w:r>
      <w:r>
        <w:rPr>
          <w:rFonts w:hint="default" w:ascii="Helvetica" w:hAnsi="Helvetica" w:eastAsia="宋体" w:cs="Helvetica"/>
          <w:i w:val="0"/>
          <w:caps w:val="0"/>
          <w:color w:val="33353C"/>
          <w:spacing w:val="0"/>
          <w:sz w:val="27"/>
          <w:szCs w:val="27"/>
          <w:lang w:val="en-US" w:eastAsia="zh-CN"/>
        </w:rPr>
        <w:instrText xml:space="preserve"> HYPERLINK "https://mp.weixin.qq.com/s/PX0QDGZLBBmUXWJ5RSUQ5Q" </w:instrText>
      </w:r>
      <w:r>
        <w:rPr>
          <w:rFonts w:hint="default" w:ascii="Helvetica" w:hAnsi="Helvetica" w:eastAsia="宋体" w:cs="Helvetica"/>
          <w:i w:val="0"/>
          <w:caps w:val="0"/>
          <w:color w:val="33353C"/>
          <w:spacing w:val="0"/>
          <w:sz w:val="27"/>
          <w:szCs w:val="27"/>
          <w:lang w:val="en-US" w:eastAsia="zh-CN"/>
        </w:rPr>
        <w:fldChar w:fldCharType="separate"/>
      </w:r>
      <w:r>
        <w:rPr>
          <w:rStyle w:val="7"/>
          <w:rFonts w:hint="default" w:ascii="Helvetica" w:hAnsi="Helvetica" w:eastAsia="宋体" w:cs="Helvetica"/>
          <w:i w:val="0"/>
          <w:caps w:val="0"/>
          <w:color w:val="33353C"/>
          <w:spacing w:val="0"/>
          <w:sz w:val="27"/>
          <w:szCs w:val="27"/>
          <w:lang w:val="en-US" w:eastAsia="zh-CN"/>
        </w:rPr>
        <w:t>https://mp.weixin.qq.com/s/PX0QDGZLBBmUXWJ5RSUQ5Q</w:t>
      </w:r>
      <w:r>
        <w:rPr>
          <w:rFonts w:hint="default" w:ascii="Helvetica" w:hAnsi="Helvetica" w:eastAsia="宋体" w:cs="Helvetica"/>
          <w:i w:val="0"/>
          <w:caps w:val="0"/>
          <w:color w:val="33353C"/>
          <w:spacing w:val="0"/>
          <w:sz w:val="27"/>
          <w:szCs w:val="27"/>
          <w:lang w:val="en-US" w:eastAsia="zh-CN"/>
        </w:rPr>
        <w:fldChar w:fldCharType="end"/>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pStyle w:val="2"/>
        <w:bidi w:val="0"/>
        <w:rPr>
          <w:rFonts w:hint="eastAsia"/>
          <w:lang w:val="en-US" w:eastAsia="zh-CN"/>
        </w:rPr>
      </w:pPr>
      <w:r>
        <w:rPr>
          <w:rFonts w:hint="eastAsia"/>
          <w:lang w:val="en-US" w:eastAsia="zh-CN"/>
        </w:rPr>
        <w:t>新冠疫情</w:t>
      </w:r>
    </w:p>
    <w:p>
      <w:pPr>
        <w:widowControl w:val="0"/>
        <w:numPr>
          <w:numId w:val="0"/>
        </w:numPr>
        <w:jc w:val="both"/>
        <w:rPr>
          <w:rFonts w:hint="eastAsia"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r>
        <w:rPr>
          <w:rFonts w:hint="default" w:ascii="Helvetica" w:hAnsi="Helvetica" w:eastAsia="宋体" w:cs="Helvetica"/>
          <w:i w:val="0"/>
          <w:caps w:val="0"/>
          <w:color w:val="33353C"/>
          <w:spacing w:val="0"/>
          <w:sz w:val="27"/>
          <w:szCs w:val="27"/>
          <w:lang w:val="en-US" w:eastAsia="zh-CN"/>
        </w:rPr>
        <w:fldChar w:fldCharType="begin"/>
      </w:r>
      <w:r>
        <w:rPr>
          <w:rFonts w:hint="default" w:ascii="Helvetica" w:hAnsi="Helvetica" w:eastAsia="宋体" w:cs="Helvetica"/>
          <w:i w:val="0"/>
          <w:caps w:val="0"/>
          <w:color w:val="33353C"/>
          <w:spacing w:val="0"/>
          <w:sz w:val="27"/>
          <w:szCs w:val="27"/>
          <w:lang w:val="en-US" w:eastAsia="zh-CN"/>
        </w:rPr>
        <w:instrText xml:space="preserve"> HYPERLINK "https://ncov.dxy.cn/ncovh5/view/pneumonia" </w:instrText>
      </w:r>
      <w:r>
        <w:rPr>
          <w:rFonts w:hint="default" w:ascii="Helvetica" w:hAnsi="Helvetica" w:eastAsia="宋体" w:cs="Helvetica"/>
          <w:i w:val="0"/>
          <w:caps w:val="0"/>
          <w:color w:val="33353C"/>
          <w:spacing w:val="0"/>
          <w:sz w:val="27"/>
          <w:szCs w:val="27"/>
          <w:lang w:val="en-US" w:eastAsia="zh-CN"/>
        </w:rPr>
        <w:fldChar w:fldCharType="separate"/>
      </w:r>
      <w:r>
        <w:rPr>
          <w:rStyle w:val="7"/>
          <w:rFonts w:hint="default" w:ascii="Helvetica" w:hAnsi="Helvetica" w:eastAsia="宋体" w:cs="Helvetica"/>
          <w:i w:val="0"/>
          <w:caps w:val="0"/>
          <w:color w:val="33353C"/>
          <w:spacing w:val="0"/>
          <w:sz w:val="27"/>
          <w:szCs w:val="27"/>
          <w:lang w:val="en-US" w:eastAsia="zh-CN"/>
        </w:rPr>
        <w:t>https://ncov.dxy.cn/ncovh5/view/pneumonia</w:t>
      </w:r>
      <w:r>
        <w:rPr>
          <w:rFonts w:hint="default" w:ascii="Helvetica" w:hAnsi="Helvetica" w:eastAsia="宋体" w:cs="Helvetica"/>
          <w:i w:val="0"/>
          <w:caps w:val="0"/>
          <w:color w:val="33353C"/>
          <w:spacing w:val="0"/>
          <w:sz w:val="27"/>
          <w:szCs w:val="27"/>
          <w:lang w:val="en-US" w:eastAsia="zh-CN"/>
        </w:rPr>
        <w:fldChar w:fldCharType="end"/>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pStyle w:val="2"/>
        <w:bidi w:val="0"/>
        <w:rPr>
          <w:rFonts w:hint="eastAsia"/>
          <w:lang w:val="en-US" w:eastAsia="zh-CN"/>
        </w:rPr>
      </w:pPr>
      <w:r>
        <w:rPr>
          <w:rFonts w:hint="eastAsia"/>
          <w:lang w:val="en-US" w:eastAsia="zh-CN"/>
        </w:rPr>
        <w:t>券商</w:t>
      </w:r>
    </w:p>
    <w:p>
      <w:pPr>
        <w:widowControl w:val="0"/>
        <w:numPr>
          <w:numId w:val="0"/>
        </w:numPr>
        <w:jc w:val="both"/>
        <w:rPr>
          <w:rFonts w:hint="eastAsia" w:ascii="Helvetica" w:hAnsi="Helvetica" w:eastAsia="宋体" w:cs="Helvetica"/>
          <w:i w:val="0"/>
          <w:caps w:val="0"/>
          <w:color w:val="33353C"/>
          <w:spacing w:val="0"/>
          <w:sz w:val="27"/>
          <w:szCs w:val="27"/>
          <w:lang w:val="en-US" w:eastAsia="zh-CN"/>
        </w:rPr>
      </w:pPr>
    </w:p>
    <w:p>
      <w:pPr>
        <w:pStyle w:val="2"/>
        <w:keepNext w:val="0"/>
        <w:keepLines w:val="0"/>
        <w:widowControl/>
        <w:suppressLineNumbers w:val="0"/>
        <w:pBdr>
          <w:top w:val="single" w:color="E5E5E5" w:sz="6" w:space="11"/>
          <w:left w:val="none" w:color="auto" w:sz="0" w:space="0"/>
          <w:bottom w:val="none" w:color="auto" w:sz="0" w:space="0"/>
          <w:right w:val="none" w:color="auto" w:sz="0" w:space="0"/>
        </w:pBdr>
        <w:spacing w:before="0" w:beforeAutospacing="0" w:after="225" w:afterAutospacing="0" w:line="600" w:lineRule="atLeast"/>
        <w:ind w:left="0" w:right="0" w:firstLine="0"/>
        <w:jc w:val="left"/>
        <w:rPr>
          <w:rFonts w:ascii="黑体" w:hAnsi="宋体" w:eastAsia="黑体" w:cs="黑体"/>
          <w:b/>
          <w:i w:val="0"/>
          <w:caps w:val="0"/>
          <w:color w:val="3F3F3F"/>
          <w:spacing w:val="-15"/>
          <w:sz w:val="42"/>
          <w:szCs w:val="42"/>
        </w:rPr>
      </w:pPr>
      <w:r>
        <w:rPr>
          <w:rFonts w:ascii="黑体" w:hAnsi="宋体" w:eastAsia="黑体" w:cs="黑体"/>
          <w:b/>
          <w:i w:val="0"/>
          <w:caps w:val="0"/>
          <w:color w:val="3F3F3F"/>
          <w:spacing w:val="-15"/>
          <w:sz w:val="42"/>
          <w:szCs w:val="42"/>
          <w:bdr w:val="none" w:color="auto" w:sz="0" w:space="0"/>
        </w:rPr>
        <w:t>券业大利好！时隔17年 这一办法修订 取消强制评级、强化流动性管理！</w:t>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r>
        <w:rPr>
          <w:rFonts w:hint="default" w:ascii="Helvetica" w:hAnsi="Helvetica" w:eastAsia="宋体" w:cs="Helvetica"/>
          <w:i w:val="0"/>
          <w:caps w:val="0"/>
          <w:color w:val="33353C"/>
          <w:spacing w:val="0"/>
          <w:sz w:val="27"/>
          <w:szCs w:val="27"/>
          <w:lang w:val="en-US" w:eastAsia="zh-CN"/>
        </w:rPr>
        <w:fldChar w:fldCharType="begin"/>
      </w:r>
      <w:r>
        <w:rPr>
          <w:rFonts w:hint="default" w:ascii="Helvetica" w:hAnsi="Helvetica" w:eastAsia="宋体" w:cs="Helvetica"/>
          <w:i w:val="0"/>
          <w:caps w:val="0"/>
          <w:color w:val="33353C"/>
          <w:spacing w:val="0"/>
          <w:sz w:val="27"/>
          <w:szCs w:val="27"/>
          <w:lang w:val="en-US" w:eastAsia="zh-CN"/>
        </w:rPr>
        <w:instrText xml:space="preserve"> HYPERLINK "http://finance.eastmoney.com/a/202103061832795017.html" </w:instrText>
      </w:r>
      <w:r>
        <w:rPr>
          <w:rFonts w:hint="default" w:ascii="Helvetica" w:hAnsi="Helvetica" w:eastAsia="宋体" w:cs="Helvetica"/>
          <w:i w:val="0"/>
          <w:caps w:val="0"/>
          <w:color w:val="33353C"/>
          <w:spacing w:val="0"/>
          <w:sz w:val="27"/>
          <w:szCs w:val="27"/>
          <w:lang w:val="en-US" w:eastAsia="zh-CN"/>
        </w:rPr>
        <w:fldChar w:fldCharType="separate"/>
      </w:r>
      <w:r>
        <w:rPr>
          <w:rStyle w:val="7"/>
          <w:rFonts w:hint="default" w:ascii="Helvetica" w:hAnsi="Helvetica" w:eastAsia="宋体" w:cs="Helvetica"/>
          <w:i w:val="0"/>
          <w:caps w:val="0"/>
          <w:color w:val="33353C"/>
          <w:spacing w:val="0"/>
          <w:sz w:val="27"/>
          <w:szCs w:val="27"/>
          <w:lang w:val="en-US" w:eastAsia="zh-CN"/>
        </w:rPr>
        <w:t>http://finance.eastmoney.com/a/202103061832795017.html</w:t>
      </w:r>
      <w:r>
        <w:rPr>
          <w:rFonts w:hint="default" w:ascii="Helvetica" w:hAnsi="Helvetica" w:eastAsia="宋体" w:cs="Helvetica"/>
          <w:i w:val="0"/>
          <w:caps w:val="0"/>
          <w:color w:val="33353C"/>
          <w:spacing w:val="0"/>
          <w:sz w:val="27"/>
          <w:szCs w:val="27"/>
          <w:lang w:val="en-US" w:eastAsia="zh-CN"/>
        </w:rPr>
        <w:fldChar w:fldCharType="end"/>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pStyle w:val="2"/>
        <w:bidi w:val="0"/>
        <w:rPr>
          <w:rFonts w:hint="eastAsia"/>
          <w:lang w:val="en-US" w:eastAsia="zh-CN"/>
        </w:rPr>
      </w:pPr>
      <w:r>
        <w:rPr>
          <w:rFonts w:hint="eastAsia"/>
          <w:lang w:val="en-US" w:eastAsia="zh-CN"/>
        </w:rPr>
        <w:t xml:space="preserve">还要跌多少？ </w:t>
      </w:r>
    </w:p>
    <w:p>
      <w:pPr>
        <w:widowControl w:val="0"/>
        <w:numPr>
          <w:numId w:val="0"/>
        </w:numPr>
        <w:jc w:val="both"/>
        <w:rPr>
          <w:rFonts w:hint="eastAsia" w:ascii="Helvetica" w:hAnsi="Helvetica" w:eastAsia="宋体" w:cs="Helvetica"/>
          <w:i w:val="0"/>
          <w:caps w:val="0"/>
          <w:color w:val="33353C"/>
          <w:spacing w:val="0"/>
          <w:sz w:val="27"/>
          <w:szCs w:val="27"/>
          <w:lang w:val="en-US" w:eastAsia="zh-CN"/>
        </w:rPr>
      </w:pPr>
    </w:p>
    <w:p>
      <w:pPr>
        <w:widowControl w:val="0"/>
        <w:numPr>
          <w:numId w:val="0"/>
        </w:numPr>
        <w:jc w:val="both"/>
        <w:rPr>
          <w:rFonts w:hint="default" w:ascii="Helvetica" w:hAnsi="Helvetica" w:eastAsia="宋体" w:cs="Helvetica"/>
          <w:i w:val="0"/>
          <w:caps w:val="0"/>
          <w:color w:val="33353C"/>
          <w:spacing w:val="0"/>
          <w:sz w:val="27"/>
          <w:szCs w:val="27"/>
          <w:lang w:val="en-US" w:eastAsia="zh-CN"/>
        </w:rPr>
      </w:pPr>
      <w:r>
        <w:rPr>
          <w:rFonts w:hint="default" w:ascii="Helvetica" w:hAnsi="Helvetica" w:eastAsia="宋体" w:cs="Helvetica"/>
          <w:i w:val="0"/>
          <w:caps w:val="0"/>
          <w:color w:val="33353C"/>
          <w:spacing w:val="0"/>
          <w:sz w:val="27"/>
          <w:szCs w:val="27"/>
          <w:lang w:val="en-US" w:eastAsia="zh-CN"/>
        </w:rPr>
        <w:fldChar w:fldCharType="begin"/>
      </w:r>
      <w:r>
        <w:rPr>
          <w:rFonts w:hint="default" w:ascii="Helvetica" w:hAnsi="Helvetica" w:eastAsia="宋体" w:cs="Helvetica"/>
          <w:i w:val="0"/>
          <w:caps w:val="0"/>
          <w:color w:val="33353C"/>
          <w:spacing w:val="0"/>
          <w:sz w:val="27"/>
          <w:szCs w:val="27"/>
          <w:lang w:val="en-US" w:eastAsia="zh-CN"/>
        </w:rPr>
        <w:instrText xml:space="preserve"> HYPERLINK "https://mp.weixin.qq.com/s/ARR3gqgk3wzV8XCCFyZwiA" </w:instrText>
      </w:r>
      <w:r>
        <w:rPr>
          <w:rFonts w:hint="default" w:ascii="Helvetica" w:hAnsi="Helvetica" w:eastAsia="宋体" w:cs="Helvetica"/>
          <w:i w:val="0"/>
          <w:caps w:val="0"/>
          <w:color w:val="33353C"/>
          <w:spacing w:val="0"/>
          <w:sz w:val="27"/>
          <w:szCs w:val="27"/>
          <w:lang w:val="en-US" w:eastAsia="zh-CN"/>
        </w:rPr>
        <w:fldChar w:fldCharType="separate"/>
      </w:r>
      <w:r>
        <w:rPr>
          <w:rStyle w:val="7"/>
          <w:rFonts w:hint="default" w:ascii="Helvetica" w:hAnsi="Helvetica" w:eastAsia="宋体" w:cs="Helvetica"/>
          <w:i w:val="0"/>
          <w:caps w:val="0"/>
          <w:color w:val="33353C"/>
          <w:spacing w:val="0"/>
          <w:sz w:val="27"/>
          <w:szCs w:val="27"/>
          <w:lang w:val="en-US" w:eastAsia="zh-CN"/>
        </w:rPr>
        <w:t>https://mp.weixin.qq.com/s/ARR3gqgk3wzV8XCCFyZwiA</w:t>
      </w:r>
      <w:r>
        <w:rPr>
          <w:rFonts w:hint="default" w:ascii="Helvetica" w:hAnsi="Helvetica" w:eastAsia="宋体" w:cs="Helvetica"/>
          <w:i w:val="0"/>
          <w:caps w:val="0"/>
          <w:color w:val="33353C"/>
          <w:spacing w:val="0"/>
          <w:sz w:val="27"/>
          <w:szCs w:val="27"/>
          <w:lang w:val="en-US" w:eastAsia="zh-CN"/>
        </w:rPr>
        <w:fldChar w:fldCharType="end"/>
      </w:r>
    </w:p>
    <w:p>
      <w:pPr>
        <w:widowControl w:val="0"/>
        <w:numPr>
          <w:numId w:val="0"/>
        </w:numPr>
        <w:jc w:val="both"/>
        <w:rPr>
          <w:rFonts w:hint="default" w:ascii="Helvetica" w:hAnsi="Helvetica" w:eastAsia="宋体" w:cs="Helvetica"/>
          <w:i w:val="0"/>
          <w:caps w:val="0"/>
          <w:color w:val="33353C"/>
          <w:spacing w:val="0"/>
          <w:sz w:val="27"/>
          <w:szCs w:val="27"/>
          <w:lang w:val="en-US" w:eastAsia="zh-CN"/>
        </w:rPr>
      </w:pPr>
    </w:p>
    <w:p>
      <w:pPr>
        <w:widowControl w:val="0"/>
        <w:numPr>
          <w:numId w:val="0"/>
        </w:numPr>
        <w:jc w:val="both"/>
        <w:rPr>
          <w:rFonts w:ascii="Microsoft YaHei UI" w:hAnsi="Microsoft YaHei UI" w:eastAsia="Microsoft YaHei UI" w:cs="Microsoft YaHei UI"/>
          <w:b w:val="0"/>
          <w:i w:val="0"/>
          <w:caps w:val="0"/>
          <w:color w:val="333333"/>
          <w:spacing w:val="7"/>
          <w:sz w:val="25"/>
          <w:szCs w:val="25"/>
          <w:shd w:val="clear" w:fill="FFFFFF"/>
        </w:rPr>
      </w:pPr>
      <w:r>
        <w:rPr>
          <w:rFonts w:ascii="Microsoft YaHei UI" w:hAnsi="Microsoft YaHei UI" w:eastAsia="Microsoft YaHei UI" w:cs="Microsoft YaHei UI"/>
          <w:b w:val="0"/>
          <w:i w:val="0"/>
          <w:caps w:val="0"/>
          <w:color w:val="333333"/>
          <w:spacing w:val="7"/>
          <w:sz w:val="25"/>
          <w:szCs w:val="25"/>
          <w:shd w:val="clear" w:fill="FFFFFF"/>
        </w:rPr>
        <w:t>投资最大的风险，不在于下跌了多少，而在于，你根本不知道将会下跌多少，所以，我一直建议大家，做任何投资之前，一定要先考虑好，未来极限的亏损，并做好充足的准备。</w:t>
      </w:r>
    </w:p>
    <w:p>
      <w:pPr>
        <w:widowControl w:val="0"/>
        <w:numPr>
          <w:numId w:val="0"/>
        </w:numPr>
        <w:jc w:val="both"/>
        <w:rPr>
          <w:rFonts w:ascii="Microsoft YaHei UI" w:hAnsi="Microsoft YaHei UI" w:eastAsia="Microsoft YaHei UI" w:cs="Microsoft YaHei UI"/>
          <w:b w:val="0"/>
          <w:i w:val="0"/>
          <w:caps w:val="0"/>
          <w:color w:val="333333"/>
          <w:spacing w:val="7"/>
          <w:sz w:val="25"/>
          <w:szCs w:val="25"/>
          <w:shd w:val="clear" w:fill="FFFFFF"/>
        </w:rPr>
      </w:pPr>
    </w:p>
    <w:p>
      <w:pPr>
        <w:pStyle w:val="2"/>
        <w:bidi w:val="0"/>
        <w:rPr>
          <w:rFonts w:hint="eastAsia"/>
          <w:lang w:val="en-US" w:eastAsia="zh-CN"/>
        </w:rPr>
      </w:pPr>
      <w:r>
        <w:rPr>
          <w:rFonts w:hint="eastAsia"/>
          <w:lang w:val="en-US" w:eastAsia="zh-CN"/>
        </w:rPr>
        <w:t>新港线</w:t>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begin"/>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instrText xml:space="preserve"> HYPERLINK "https://mp.weixin.qq.com/s/bS6BHgSS0rdIsYwXjvdAmA" </w:instrText>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separate"/>
      </w:r>
      <w:r>
        <w:rPr>
          <w:rStyle w:val="7"/>
          <w:rFonts w:hint="eastAsia" w:ascii="Microsoft YaHei UI" w:hAnsi="Microsoft YaHei UI" w:eastAsia="Microsoft YaHei UI" w:cs="Microsoft YaHei UI"/>
          <w:b w:val="0"/>
          <w:i w:val="0"/>
          <w:caps w:val="0"/>
          <w:spacing w:val="7"/>
          <w:sz w:val="25"/>
          <w:szCs w:val="25"/>
          <w:shd w:val="clear" w:fill="FFFFFF"/>
          <w:lang w:val="en-US" w:eastAsia="zh-CN"/>
        </w:rPr>
        <w:t>https://mp.weixin.qq.com/s/bS6BHgSS0rdIsYwXjvdAmA</w:t>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end"/>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drawing>
          <wp:inline distT="0" distB="0" distL="114300" distR="114300">
            <wp:extent cx="5270500" cy="2232025"/>
            <wp:effectExtent l="0" t="0" r="635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232025"/>
                    </a:xfrm>
                    <a:prstGeom prst="rect">
                      <a:avLst/>
                    </a:prstGeom>
                    <a:noFill/>
                    <a:ln>
                      <a:noFill/>
                    </a:ln>
                  </pic:spPr>
                </pic:pic>
              </a:graphicData>
            </a:graphic>
          </wp:inline>
        </w:drawing>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p>
    <w:p>
      <w:pPr>
        <w:pStyle w:val="2"/>
        <w:bidi w:val="0"/>
        <w:rPr>
          <w:rFonts w:hint="eastAsia"/>
          <w:lang w:val="en-US" w:eastAsia="zh-CN"/>
        </w:rPr>
      </w:pPr>
      <w:r>
        <w:rPr>
          <w:rFonts w:hint="eastAsia"/>
          <w:lang w:val="en-US" w:eastAsia="zh-CN"/>
        </w:rPr>
        <w:t>2.5环</w:t>
      </w:r>
    </w:p>
    <w:p>
      <w:pPr>
        <w:widowControl w:val="0"/>
        <w:numPr>
          <w:numId w:val="0"/>
        </w:numPr>
        <w:jc w:val="both"/>
        <w:rPr>
          <w:rFonts w:hint="default" w:ascii="Microsoft YaHei UI" w:hAnsi="Microsoft YaHei UI" w:eastAsia="Microsoft YaHei UI" w:cs="Microsoft YaHei UI"/>
          <w:b w:val="0"/>
          <w:i w:val="0"/>
          <w:caps w:val="0"/>
          <w:color w:val="333333"/>
          <w:spacing w:val="7"/>
          <w:sz w:val="25"/>
          <w:szCs w:val="25"/>
          <w:shd w:val="clear" w:fill="FFFFFF"/>
          <w:lang w:val="en-US" w:eastAsia="zh-CN"/>
        </w:rPr>
      </w:pP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drawing>
          <wp:inline distT="0" distB="0" distL="114300" distR="114300">
            <wp:extent cx="5266690" cy="2925445"/>
            <wp:effectExtent l="0" t="0" r="10160" b="8255"/>
            <wp:docPr id="2" name="图片 2" descr="b57651bd8d271553e45049c5e83f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57651bd8d271553e45049c5e83f6010"/>
                    <pic:cNvPicPr>
                      <a:picLocks noChangeAspect="1"/>
                    </pic:cNvPicPr>
                  </pic:nvPicPr>
                  <pic:blipFill>
                    <a:blip r:embed="rId5"/>
                    <a:stretch>
                      <a:fillRect/>
                    </a:stretch>
                  </pic:blipFill>
                  <pic:spPr>
                    <a:xfrm>
                      <a:off x="0" y="0"/>
                      <a:ext cx="5266690" cy="2925445"/>
                    </a:xfrm>
                    <a:prstGeom prst="rect">
                      <a:avLst/>
                    </a:prstGeom>
                  </pic:spPr>
                </pic:pic>
              </a:graphicData>
            </a:graphic>
          </wp:inline>
        </w:drawing>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p>
    <w:p>
      <w:pPr>
        <w:widowControl w:val="0"/>
        <w:numPr>
          <w:numId w:val="0"/>
        </w:numPr>
        <w:jc w:val="both"/>
        <w:rPr>
          <w:rFonts w:hint="default"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t>工业路和友谊大道交叉路口上面高架。</w:t>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drawing>
          <wp:inline distT="0" distB="0" distL="114300" distR="114300">
            <wp:extent cx="5266690" cy="3291840"/>
            <wp:effectExtent l="0" t="0" r="10160" b="3810"/>
            <wp:docPr id="7" name="图片 7" descr="武汉2.5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武汉2.5环"/>
                    <pic:cNvPicPr>
                      <a:picLocks noChangeAspect="1"/>
                    </pic:cNvPicPr>
                  </pic:nvPicPr>
                  <pic:blipFill>
                    <a:blip r:embed="rId6"/>
                    <a:stretch>
                      <a:fillRect/>
                    </a:stretch>
                  </pic:blipFill>
                  <pic:spPr>
                    <a:xfrm>
                      <a:off x="0" y="0"/>
                      <a:ext cx="5266690" cy="3291840"/>
                    </a:xfrm>
                    <a:prstGeom prst="rect">
                      <a:avLst/>
                    </a:prstGeom>
                  </pic:spPr>
                </pic:pic>
              </a:graphicData>
            </a:graphic>
          </wp:inline>
        </w:drawing>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drawing>
          <wp:inline distT="0" distB="0" distL="114300" distR="114300">
            <wp:extent cx="4248785" cy="8843010"/>
            <wp:effectExtent l="0" t="0" r="18415" b="15240"/>
            <wp:docPr id="3" name="图片 3" descr="89021b6114a871e9365397259b04a1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9021b6114a871e9365397259b04a1ff"/>
                    <pic:cNvPicPr>
                      <a:picLocks noChangeAspect="1"/>
                    </pic:cNvPicPr>
                  </pic:nvPicPr>
                  <pic:blipFill>
                    <a:blip r:embed="rId7"/>
                    <a:stretch>
                      <a:fillRect/>
                    </a:stretch>
                  </pic:blipFill>
                  <pic:spPr>
                    <a:xfrm>
                      <a:off x="0" y="0"/>
                      <a:ext cx="4248785" cy="8843010"/>
                    </a:xfrm>
                    <a:prstGeom prst="rect">
                      <a:avLst/>
                    </a:prstGeom>
                  </pic:spPr>
                </pic:pic>
              </a:graphicData>
            </a:graphic>
          </wp:inline>
        </w:drawing>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begin"/>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instrText xml:space="preserve"> HYPERLINK "https://3g.163.com/dy/article/FNC3QFV00534FOQ8.html" </w:instrText>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separate"/>
      </w:r>
      <w:r>
        <w:rPr>
          <w:rStyle w:val="7"/>
          <w:rFonts w:hint="eastAsia" w:ascii="Microsoft YaHei UI" w:hAnsi="Microsoft YaHei UI" w:eastAsia="Microsoft YaHei UI" w:cs="Microsoft YaHei UI"/>
          <w:b w:val="0"/>
          <w:i w:val="0"/>
          <w:caps w:val="0"/>
          <w:spacing w:val="7"/>
          <w:sz w:val="25"/>
          <w:szCs w:val="25"/>
          <w:shd w:val="clear" w:fill="FFFFFF"/>
          <w:lang w:val="en-US" w:eastAsia="zh-CN"/>
        </w:rPr>
        <w:t>https://3g.163.com/dy/article/FNC3QFV00534FOQ8.html</w:t>
      </w:r>
      <w:r>
        <w:rPr>
          <w:rFonts w:hint="eastAsia" w:ascii="Microsoft YaHei UI" w:hAnsi="Microsoft YaHei UI" w:eastAsia="Microsoft YaHei UI" w:cs="Microsoft YaHei UI"/>
          <w:b w:val="0"/>
          <w:i w:val="0"/>
          <w:caps w:val="0"/>
          <w:color w:val="333333"/>
          <w:spacing w:val="7"/>
          <w:sz w:val="25"/>
          <w:szCs w:val="25"/>
          <w:shd w:val="clear" w:fill="FFFFFF"/>
          <w:lang w:val="en-US" w:eastAsia="zh-CN"/>
        </w:rPr>
        <w:fldChar w:fldCharType="end"/>
      </w:r>
    </w:p>
    <w:p>
      <w:pPr>
        <w:widowControl w:val="0"/>
        <w:numPr>
          <w:numId w:val="0"/>
        </w:numPr>
        <w:jc w:val="both"/>
        <w:rPr>
          <w:rFonts w:hint="eastAsia" w:ascii="Microsoft YaHei UI" w:hAnsi="Microsoft YaHei UI" w:eastAsia="Microsoft YaHei UI" w:cs="Microsoft YaHei UI"/>
          <w:b w:val="0"/>
          <w:i w:val="0"/>
          <w:caps w:val="0"/>
          <w:color w:val="333333"/>
          <w:spacing w:val="7"/>
          <w:sz w:val="25"/>
          <w:szCs w:val="25"/>
          <w:shd w:val="clear" w:fill="FFFFFF"/>
          <w:lang w:val="en-US" w:eastAsia="zh-CN"/>
        </w:rPr>
      </w:pPr>
    </w:p>
    <w:p>
      <w:pPr>
        <w:widowControl w:val="0"/>
        <w:numPr>
          <w:numId w:val="0"/>
        </w:numPr>
        <w:jc w:val="both"/>
      </w:pPr>
      <w:r>
        <w:rPr>
          <w:rFonts w:ascii="宋体" w:hAnsi="宋体" w:eastAsia="宋体" w:cs="宋体"/>
          <w:sz w:val="24"/>
          <w:szCs w:val="24"/>
        </w:rPr>
        <w:drawing>
          <wp:inline distT="0" distB="0" distL="114300" distR="114300">
            <wp:extent cx="304800" cy="3048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8595" cy="3780790"/>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378079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eastAsiaTheme="minorEastAsia"/>
          <w:lang w:val="en-US" w:eastAsia="zh-CN"/>
        </w:rPr>
      </w:pPr>
      <w:r>
        <w:rPr>
          <w:rFonts w:hint="eastAsia" w:eastAsiaTheme="minorEastAsia"/>
          <w:lang w:val="en-US" w:eastAsia="zh-CN"/>
        </w:rPr>
        <w:drawing>
          <wp:inline distT="0" distB="0" distL="114300" distR="114300">
            <wp:extent cx="5273040" cy="7456170"/>
            <wp:effectExtent l="0" t="0" r="3810" b="11430"/>
            <wp:docPr id="8" name="图片 8" descr="4276654a4c3a14970cbd8f810ee8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276654a4c3a14970cbd8f810ee85102"/>
                    <pic:cNvPicPr>
                      <a:picLocks noChangeAspect="1"/>
                    </pic:cNvPicPr>
                  </pic:nvPicPr>
                  <pic:blipFill>
                    <a:blip r:embed="rId10"/>
                    <a:stretch>
                      <a:fillRect/>
                    </a:stretch>
                  </pic:blipFill>
                  <pic:spPr>
                    <a:xfrm>
                      <a:off x="0" y="0"/>
                      <a:ext cx="5273040" cy="7456170"/>
                    </a:xfrm>
                    <a:prstGeom prst="rect">
                      <a:avLst/>
                    </a:prstGeom>
                  </pic:spPr>
                </pic:pic>
              </a:graphicData>
            </a:graphic>
          </wp:inline>
        </w:drawing>
      </w: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pStyle w:val="2"/>
        <w:bidi w:val="0"/>
        <w:rPr>
          <w:rFonts w:hint="eastAsia"/>
          <w:lang w:val="en-US" w:eastAsia="zh-CN"/>
        </w:rPr>
      </w:pPr>
      <w:r>
        <w:rPr>
          <w:rFonts w:hint="eastAsia"/>
          <w:lang w:val="en-US" w:eastAsia="zh-CN"/>
        </w:rPr>
        <w:t>白酒估值</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"https://mp.weixin.qq.com/s/D5KHJ3uvOio1eOCQldc_hQ" </w:instrText>
      </w:r>
      <w:r>
        <w:rPr>
          <w:rFonts w:hint="default"/>
          <w:lang w:val="en-US" w:eastAsia="zh-CN"/>
        </w:rPr>
        <w:fldChar w:fldCharType="separate"/>
      </w:r>
      <w:r>
        <w:rPr>
          <w:rStyle w:val="7"/>
          <w:rFonts w:hint="default"/>
          <w:lang w:val="en-US" w:eastAsia="zh-CN"/>
        </w:rPr>
        <w:t>https://mp.weixin.qq.com/s/D5KHJ3uvOio1eOCQldc_hQ</w:t>
      </w:r>
      <w:r>
        <w:rPr>
          <w:rFonts w:hint="default"/>
          <w:lang w:val="en-US" w:eastAsia="zh-CN"/>
        </w:rPr>
        <w:fldChar w:fldCharType="end"/>
      </w:r>
    </w:p>
    <w:p>
      <w:pPr>
        <w:widowControl w:val="0"/>
        <w:numPr>
          <w:numId w:val="0"/>
        </w:numPr>
        <w:jc w:val="both"/>
        <w:rPr>
          <w:rFonts w:hint="default"/>
          <w:lang w:val="en-US" w:eastAsia="zh-CN"/>
        </w:rPr>
      </w:pPr>
    </w:p>
    <w:p>
      <w:pPr>
        <w:widowControl w:val="0"/>
        <w:numPr>
          <w:numId w:val="0"/>
        </w:numPr>
        <w:jc w:val="both"/>
        <w:rPr>
          <w:rFonts w:hint="eastAsia" w:ascii="Microsoft YaHei UI" w:hAnsi="Microsoft YaHei UI" w:eastAsia="Microsoft YaHei UI" w:cs="Microsoft YaHei UI"/>
          <w:b w:val="0"/>
          <w:i w:val="0"/>
          <w:caps w:val="0"/>
          <w:color w:val="333333"/>
          <w:spacing w:val="7"/>
          <w:sz w:val="27"/>
          <w:szCs w:val="27"/>
          <w:bdr w:val="none" w:color="auto" w:sz="0" w:space="0"/>
          <w:shd w:val="clear" w:fill="FFFFFF"/>
        </w:rPr>
      </w:pPr>
      <w:r>
        <w:rPr>
          <w:rFonts w:ascii="Microsoft YaHei UI" w:hAnsi="Microsoft YaHei UI" w:eastAsia="Microsoft YaHei UI" w:cs="Microsoft YaHei UI"/>
          <w:b w:val="0"/>
          <w:i w:val="0"/>
          <w:caps w:val="0"/>
          <w:color w:val="333333"/>
          <w:spacing w:val="7"/>
          <w:sz w:val="27"/>
          <w:szCs w:val="27"/>
          <w:bdr w:val="none" w:color="auto" w:sz="0" w:space="0"/>
          <w:shd w:val="clear" w:fill="FFFFFF"/>
        </w:rPr>
        <w:t>由于贵州茅台作为高端白酒的行业景气度没有下降，短时间内大概率不会回到</w:t>
      </w:r>
      <w:r>
        <w:rPr>
          <w:rFonts w:hint="eastAsia" w:ascii="Microsoft YaHei UI" w:hAnsi="Microsoft YaHei UI" w:eastAsia="Microsoft YaHei UI" w:cs="Microsoft YaHei UI"/>
          <w:b/>
          <w:i w:val="0"/>
          <w:caps w:val="0"/>
          <w:color w:val="333333"/>
          <w:spacing w:val="7"/>
          <w:sz w:val="27"/>
          <w:szCs w:val="27"/>
          <w:bdr w:val="none" w:color="auto" w:sz="0" w:space="0"/>
          <w:shd w:val="clear" w:fill="FFFFFF"/>
        </w:rPr>
        <w:t>10倍PE-35倍PE估值区间</w:t>
      </w:r>
      <w:r>
        <w:rPr>
          <w:rFonts w:hint="eastAsia" w:ascii="Microsoft YaHei UI" w:hAnsi="Microsoft YaHei UI" w:eastAsia="Microsoft YaHei UI" w:cs="Microsoft YaHei UI"/>
          <w:b w:val="0"/>
          <w:i w:val="0"/>
          <w:caps w:val="0"/>
          <w:color w:val="333333"/>
          <w:spacing w:val="7"/>
          <w:sz w:val="27"/>
          <w:szCs w:val="27"/>
          <w:bdr w:val="none" w:color="auto" w:sz="0" w:space="0"/>
          <w:shd w:val="clear" w:fill="FFFFFF"/>
        </w:rPr>
        <w:t>了，贵州茅台估值已经跃迁。</w:t>
      </w:r>
    </w:p>
    <w:p>
      <w:pPr>
        <w:widowControl w:val="0"/>
        <w:numPr>
          <w:numId w:val="0"/>
        </w:numPr>
        <w:jc w:val="both"/>
        <w:rPr>
          <w:rFonts w:hint="eastAsia" w:ascii="Microsoft YaHei UI" w:hAnsi="Microsoft YaHei UI" w:eastAsia="Microsoft YaHei UI" w:cs="Microsoft YaHei UI"/>
          <w:b w:val="0"/>
          <w:i w:val="0"/>
          <w:caps w:val="0"/>
          <w:color w:val="333333"/>
          <w:spacing w:val="7"/>
          <w:sz w:val="27"/>
          <w:szCs w:val="27"/>
          <w:bdr w:val="none" w:color="auto" w:sz="0" w:space="0"/>
          <w:shd w:val="clear" w:fill="FFFFFF"/>
        </w:rPr>
      </w:pPr>
    </w:p>
    <w:p>
      <w:pPr>
        <w:widowControl w:val="0"/>
        <w:numPr>
          <w:numId w:val="0"/>
        </w:numPr>
        <w:jc w:val="both"/>
        <w:rPr>
          <w:rFonts w:hint="default" w:ascii="Microsoft YaHei UI" w:hAnsi="Microsoft YaHei UI" w:eastAsia="Microsoft YaHei UI" w:cs="Microsoft YaHei UI"/>
          <w:b w:val="0"/>
          <w:i w:val="0"/>
          <w:caps w:val="0"/>
          <w:color w:val="333333"/>
          <w:spacing w:val="7"/>
          <w:sz w:val="27"/>
          <w:szCs w:val="27"/>
          <w:bdr w:val="none" w:color="auto" w:sz="0" w:space="0"/>
          <w:shd w:val="clear" w:fill="FFFFFF"/>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 xml:space="preserve">任何东西都是当下， 未来行情无法预测。 </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xml:space="preserve">有因才有果， 买点买， 卖点卖。 </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drawing>
          <wp:inline distT="0" distB="0" distL="114300" distR="114300">
            <wp:extent cx="5271135" cy="2781935"/>
            <wp:effectExtent l="0" t="0" r="5715" b="184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71135" cy="278193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3414EA"/>
    <w:multiLevelType w:val="singleLevel"/>
    <w:tmpl w:val="F33414E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0417D"/>
    <w:rsid w:val="0395488E"/>
    <w:rsid w:val="0454156F"/>
    <w:rsid w:val="052C3C0C"/>
    <w:rsid w:val="085E4449"/>
    <w:rsid w:val="0A88163F"/>
    <w:rsid w:val="0AA50358"/>
    <w:rsid w:val="0DFA1334"/>
    <w:rsid w:val="10836F17"/>
    <w:rsid w:val="108D740C"/>
    <w:rsid w:val="11430F0B"/>
    <w:rsid w:val="137A4869"/>
    <w:rsid w:val="13E51788"/>
    <w:rsid w:val="1C1B7577"/>
    <w:rsid w:val="1DCF54FE"/>
    <w:rsid w:val="216E5551"/>
    <w:rsid w:val="236F50B4"/>
    <w:rsid w:val="27962B59"/>
    <w:rsid w:val="28BB7416"/>
    <w:rsid w:val="2F6D64BB"/>
    <w:rsid w:val="323C3350"/>
    <w:rsid w:val="34580E63"/>
    <w:rsid w:val="349F723C"/>
    <w:rsid w:val="35FC61E3"/>
    <w:rsid w:val="37A10A35"/>
    <w:rsid w:val="3F8B2FB9"/>
    <w:rsid w:val="411853B5"/>
    <w:rsid w:val="4249114A"/>
    <w:rsid w:val="424A6D86"/>
    <w:rsid w:val="4A3C1A7D"/>
    <w:rsid w:val="4B3E0A91"/>
    <w:rsid w:val="4DFB4E27"/>
    <w:rsid w:val="509B5A66"/>
    <w:rsid w:val="539A23BD"/>
    <w:rsid w:val="609836B1"/>
    <w:rsid w:val="65EF007F"/>
    <w:rsid w:val="695371AA"/>
    <w:rsid w:val="6A4F687B"/>
    <w:rsid w:val="6BCC4314"/>
    <w:rsid w:val="72FC4E7A"/>
    <w:rsid w:val="73DE1F7F"/>
    <w:rsid w:val="74753E83"/>
    <w:rsid w:val="75782746"/>
    <w:rsid w:val="77FE1BB5"/>
    <w:rsid w:val="7A0A38D9"/>
    <w:rsid w:val="7CA90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customStyle="1" w:styleId="8">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margi</dc:creator>
  <cp:lastModifiedBy>margi</cp:lastModifiedBy>
  <dcterms:modified xsi:type="dcterms:W3CDTF">2021-03-06T07:03:45Z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