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7131A" w14:textId="77777777" w:rsidR="00FF33FF" w:rsidRDefault="00FF33FF"/>
    <w:p w14:paraId="38648431" w14:textId="77777777" w:rsidR="00FF33FF" w:rsidRDefault="00FF33FF"/>
    <w:p w14:paraId="03302B0A" w14:textId="77777777" w:rsidR="00FF33FF" w:rsidRDefault="00304555">
      <w:r>
        <w:rPr>
          <w:rFonts w:hint="eastAsia"/>
        </w:rPr>
        <w:t>对于中小资金来说，根本没必要参与。一定要记住，操作一定要按标准来，这样才是最有效率的。如果买入后不出现盘整，那就要彻底恭喜你了，因为这股票将至少回升到“下跌</w:t>
      </w:r>
      <w:r>
        <w:rPr>
          <w:rFonts w:hint="eastAsia"/>
        </w:rPr>
        <w:t>+</w:t>
      </w:r>
      <w:r>
        <w:rPr>
          <w:rFonts w:hint="eastAsia"/>
        </w:rPr>
        <w:t>盘整</w:t>
      </w:r>
      <w:r>
        <w:rPr>
          <w:rFonts w:hint="eastAsia"/>
        </w:rPr>
        <w:t>+</w:t>
      </w:r>
      <w:r>
        <w:rPr>
          <w:rFonts w:hint="eastAsia"/>
        </w:rPr>
        <w:t>下跌”的盘整区域，如果在日线或周线上出现这种走势，进而发展成为大黑马的可能是相当大的。</w:t>
      </w:r>
    </w:p>
    <w:p w14:paraId="69EFCCF0" w14:textId="77777777" w:rsidR="00FF33FF" w:rsidRDefault="00FF33FF"/>
    <w:p w14:paraId="2F95F6C5" w14:textId="77777777" w:rsidR="00FF33FF" w:rsidRDefault="00FF33FF"/>
    <w:p w14:paraId="2728BD68" w14:textId="77777777" w:rsidR="00FF33FF" w:rsidRDefault="00FF33FF"/>
    <w:p w14:paraId="60F71074" w14:textId="77777777" w:rsidR="00FF33FF" w:rsidRDefault="00304555">
      <w:r>
        <w:rPr>
          <w:rFonts w:hint="eastAsia"/>
        </w:rPr>
        <w:t>3</w:t>
      </w:r>
      <w:r>
        <w:rPr>
          <w:rFonts w:hint="eastAsia"/>
        </w:rPr>
        <w:t>日上市的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科技大涨超</w:t>
      </w:r>
      <w:proofErr w:type="gramEnd"/>
      <w:r>
        <w:rPr>
          <w:rFonts w:hint="eastAsia"/>
        </w:rPr>
        <w:t>16%</w:t>
      </w:r>
      <w:r>
        <w:rPr>
          <w:rFonts w:hint="eastAsia"/>
        </w:rPr>
        <w:t>股价突破</w:t>
      </w:r>
      <w:r>
        <w:rPr>
          <w:rFonts w:hint="eastAsia"/>
        </w:rPr>
        <w:t>600</w:t>
      </w:r>
      <w:r>
        <w:rPr>
          <w:rFonts w:hint="eastAsia"/>
        </w:rPr>
        <w:t>元，志</w:t>
      </w:r>
      <w:proofErr w:type="gramStart"/>
      <w:r>
        <w:rPr>
          <w:rFonts w:hint="eastAsia"/>
        </w:rPr>
        <w:t>邦</w:t>
      </w:r>
      <w:proofErr w:type="gramEnd"/>
      <w:r>
        <w:rPr>
          <w:rFonts w:hint="eastAsia"/>
        </w:rPr>
        <w:t>家居、金牌橱柜涨停，</w:t>
      </w:r>
      <w:proofErr w:type="gramStart"/>
      <w:r>
        <w:rPr>
          <w:rFonts w:hint="eastAsia"/>
        </w:rPr>
        <w:t>尚品宅配涨</w:t>
      </w:r>
      <w:proofErr w:type="gramEnd"/>
      <w:r>
        <w:rPr>
          <w:rFonts w:hint="eastAsia"/>
        </w:rPr>
        <w:t>近</w:t>
      </w:r>
      <w:r>
        <w:rPr>
          <w:rFonts w:hint="eastAsia"/>
        </w:rPr>
        <w:t>7%</w:t>
      </w:r>
      <w:r>
        <w:rPr>
          <w:rFonts w:hint="eastAsia"/>
        </w:rPr>
        <w:t>，我乐家居、江山欧派、乐歌股份等涨幅超</w:t>
      </w:r>
      <w:r>
        <w:rPr>
          <w:rFonts w:hint="eastAsia"/>
        </w:rPr>
        <w:t>4%</w:t>
      </w:r>
      <w:r>
        <w:rPr>
          <w:rFonts w:hint="eastAsia"/>
        </w:rPr>
        <w:t>。</w:t>
      </w:r>
    </w:p>
    <w:p w14:paraId="013F0B89" w14:textId="77777777" w:rsidR="00FF33FF" w:rsidRDefault="00FF33FF"/>
    <w:p w14:paraId="6AAA2EA1" w14:textId="77777777" w:rsidR="00FF33FF" w:rsidRDefault="00304555">
      <w:r>
        <w:rPr>
          <w:rFonts w:hint="eastAsia"/>
        </w:rPr>
        <w:t>越跌越关注！</w:t>
      </w:r>
      <w:proofErr w:type="gramStart"/>
      <w:r>
        <w:rPr>
          <w:rFonts w:hint="eastAsia"/>
        </w:rPr>
        <w:t>险资兴趣</w:t>
      </w:r>
      <w:proofErr w:type="gramEnd"/>
      <w:r>
        <w:rPr>
          <w:rFonts w:hint="eastAsia"/>
        </w:rPr>
        <w:t>点转向了这些公司</w:t>
      </w:r>
      <w:r>
        <w:rPr>
          <w:rFonts w:hint="eastAsia"/>
        </w:rPr>
        <w:t xml:space="preserve"> 8</w:t>
      </w:r>
      <w:r>
        <w:rPr>
          <w:rFonts w:hint="eastAsia"/>
        </w:rPr>
        <w:t>家调研杰瑞股份</w:t>
      </w:r>
    </w:p>
    <w:p w14:paraId="1DCBC89C" w14:textId="77777777" w:rsidR="00FF33FF" w:rsidRDefault="00FF33FF"/>
    <w:p w14:paraId="2DDBB9C0" w14:textId="77777777" w:rsidR="00FF33FF" w:rsidRDefault="00304555">
      <w:r>
        <w:rPr>
          <w:rFonts w:hint="eastAsia"/>
        </w:rPr>
        <w:t xml:space="preserve">　具体看个股的调研情况，今年以来，</w:t>
      </w:r>
      <w:proofErr w:type="gramStart"/>
      <w:r>
        <w:rPr>
          <w:rFonts w:hint="eastAsia"/>
        </w:rPr>
        <w:t>险资在</w:t>
      </w:r>
      <w:proofErr w:type="gramEnd"/>
      <w:r>
        <w:rPr>
          <w:rFonts w:hint="eastAsia"/>
        </w:rPr>
        <w:t>春节前调研最多的是爱美客</w:t>
      </w:r>
      <w:r>
        <w:rPr>
          <w:rFonts w:hint="eastAsia"/>
        </w:rPr>
        <w:t>(300896.SZ)</w:t>
      </w:r>
      <w:r>
        <w:rPr>
          <w:rFonts w:hint="eastAsia"/>
        </w:rPr>
        <w:t>、吉比特</w:t>
      </w:r>
      <w:r>
        <w:rPr>
          <w:rFonts w:hint="eastAsia"/>
        </w:rPr>
        <w:t>(603444.SZ)</w:t>
      </w:r>
      <w:r>
        <w:rPr>
          <w:rFonts w:hint="eastAsia"/>
        </w:rPr>
        <w:t>和领益智造</w:t>
      </w:r>
      <w:r>
        <w:rPr>
          <w:rFonts w:hint="eastAsia"/>
        </w:rPr>
        <w:t>(002600.SZ)</w:t>
      </w:r>
      <w:r>
        <w:rPr>
          <w:rFonts w:hint="eastAsia"/>
        </w:rPr>
        <w:t>，节后则重点关注杰瑞股份、</w:t>
      </w:r>
      <w:proofErr w:type="gramStart"/>
      <w:r>
        <w:rPr>
          <w:rFonts w:hint="eastAsia"/>
        </w:rPr>
        <w:t>恒逸石化</w:t>
      </w:r>
      <w:proofErr w:type="gramEnd"/>
      <w:r>
        <w:rPr>
          <w:rFonts w:hint="eastAsia"/>
        </w:rPr>
        <w:t>(000703.SZ)</w:t>
      </w:r>
      <w:r>
        <w:rPr>
          <w:rFonts w:hint="eastAsia"/>
        </w:rPr>
        <w:t>和西麦食品</w:t>
      </w:r>
      <w:r>
        <w:rPr>
          <w:rFonts w:hint="eastAsia"/>
        </w:rPr>
        <w:t>(002956.SZ)</w:t>
      </w:r>
      <w:r>
        <w:rPr>
          <w:rFonts w:hint="eastAsia"/>
        </w:rPr>
        <w:t>，相关个股节后的表现则涨跌参半。</w:t>
      </w:r>
    </w:p>
    <w:p w14:paraId="6171D39D" w14:textId="77777777" w:rsidR="00FF33FF" w:rsidRDefault="00FF33FF"/>
    <w:p w14:paraId="66D01835" w14:textId="77777777" w:rsidR="00FF33FF" w:rsidRDefault="00FF33FF"/>
    <w:p w14:paraId="583D91DA" w14:textId="77777777" w:rsidR="00FF33FF" w:rsidRDefault="00304555">
      <w:r>
        <w:rPr>
          <w:rFonts w:hint="eastAsia"/>
        </w:rPr>
        <w:t xml:space="preserve">　</w:t>
      </w:r>
      <w:r>
        <w:rPr>
          <w:rFonts w:hint="eastAsia"/>
        </w:rPr>
        <w:t>2</w:t>
      </w:r>
      <w:r>
        <w:rPr>
          <w:rFonts w:hint="eastAsia"/>
        </w:rPr>
        <w:t>月下旬，国寿养老、国寿资产、太平资产、英</w:t>
      </w:r>
      <w:r>
        <w:rPr>
          <w:rFonts w:hint="eastAsia"/>
        </w:rPr>
        <w:t>大</w:t>
      </w:r>
      <w:proofErr w:type="gramStart"/>
      <w:r>
        <w:rPr>
          <w:rFonts w:hint="eastAsia"/>
        </w:rPr>
        <w:t>保险资管等</w:t>
      </w:r>
      <w:r>
        <w:rPr>
          <w:rFonts w:hint="eastAsia"/>
        </w:rPr>
        <w:t>8</w:t>
      </w:r>
      <w:r>
        <w:rPr>
          <w:rFonts w:hint="eastAsia"/>
        </w:rPr>
        <w:t>家险资机构</w:t>
      </w:r>
      <w:proofErr w:type="gramEnd"/>
      <w:r>
        <w:rPr>
          <w:rFonts w:hint="eastAsia"/>
        </w:rPr>
        <w:t>集体参与调研杰瑞股份，调研的问题围绕公司研发的涡轮压裂设备和电驱压裂设备的优势，及其在北美市场的竞争优势等。同处于石油产业链中</w:t>
      </w:r>
      <w:proofErr w:type="gramStart"/>
      <w:r>
        <w:rPr>
          <w:rFonts w:hint="eastAsia"/>
        </w:rPr>
        <w:t>的恒逸石化</w:t>
      </w:r>
      <w:proofErr w:type="gramEnd"/>
      <w:r>
        <w:rPr>
          <w:rFonts w:hint="eastAsia"/>
        </w:rPr>
        <w:t>也受到不少关注，虽然仅在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日进行了唯一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次调研活动，却有</w:t>
      </w:r>
      <w:proofErr w:type="gramStart"/>
      <w:r>
        <w:rPr>
          <w:rFonts w:hint="eastAsia"/>
        </w:rPr>
        <w:t>8</w:t>
      </w:r>
      <w:r>
        <w:rPr>
          <w:rFonts w:hint="eastAsia"/>
        </w:rPr>
        <w:t>家险资公司</w:t>
      </w:r>
      <w:proofErr w:type="gramEnd"/>
      <w:r>
        <w:rPr>
          <w:rFonts w:hint="eastAsia"/>
        </w:rPr>
        <w:t>积极参与。国盛证券在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日的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报中首次覆盖给予“买入”评级，公司股价则在节后走出倒“</w:t>
      </w:r>
      <w:r>
        <w:rPr>
          <w:rFonts w:hint="eastAsia"/>
        </w:rPr>
        <w:t>U</w:t>
      </w:r>
      <w:r>
        <w:rPr>
          <w:rFonts w:hint="eastAsia"/>
        </w:rPr>
        <w:t>”形。资料显示，随着</w:t>
      </w:r>
      <w:r>
        <w:rPr>
          <w:rFonts w:hint="eastAsia"/>
        </w:rPr>
        <w:t>2015</w:t>
      </w:r>
      <w:r>
        <w:rPr>
          <w:rFonts w:hint="eastAsia"/>
        </w:rPr>
        <w:t>年</w:t>
      </w:r>
      <w:proofErr w:type="gramStart"/>
      <w:r>
        <w:rPr>
          <w:rFonts w:hint="eastAsia"/>
        </w:rPr>
        <w:t>海南逸盛</w:t>
      </w:r>
      <w:proofErr w:type="gramEnd"/>
      <w:r>
        <w:rPr>
          <w:rFonts w:hint="eastAsia"/>
        </w:rPr>
        <w:t>PTA</w:t>
      </w:r>
      <w:r>
        <w:rPr>
          <w:rFonts w:hint="eastAsia"/>
        </w:rPr>
        <w:t>项目投产，</w:t>
      </w:r>
      <w:proofErr w:type="gramStart"/>
      <w:r>
        <w:rPr>
          <w:rFonts w:hint="eastAsia"/>
        </w:rPr>
        <w:t>恒逸石化</w:t>
      </w:r>
      <w:proofErr w:type="gramEnd"/>
      <w:r>
        <w:rPr>
          <w:rFonts w:hint="eastAsia"/>
        </w:rPr>
        <w:t>成为国内最大的</w:t>
      </w:r>
      <w:r>
        <w:rPr>
          <w:rFonts w:hint="eastAsia"/>
        </w:rPr>
        <w:t>PTA</w:t>
      </w:r>
      <w:r>
        <w:rPr>
          <w:rFonts w:hint="eastAsia"/>
        </w:rPr>
        <w:t>生产企业，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月文莱炼油一期项目全面建成投产，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月公司公告拟投资</w:t>
      </w:r>
      <w:r>
        <w:rPr>
          <w:rFonts w:hint="eastAsia"/>
        </w:rPr>
        <w:t>136.54</w:t>
      </w:r>
      <w:r>
        <w:rPr>
          <w:rFonts w:hint="eastAsia"/>
        </w:rPr>
        <w:t>亿美元建设</w:t>
      </w:r>
      <w:r>
        <w:rPr>
          <w:rFonts w:hint="eastAsia"/>
        </w:rPr>
        <w:t>文莱炼化二期项目，项目进展也成为调研的重点问题。</w:t>
      </w:r>
    </w:p>
    <w:p w14:paraId="4D1147EA" w14:textId="77777777" w:rsidR="00FF33FF" w:rsidRDefault="00FF33FF"/>
    <w:p w14:paraId="2B00AF2E" w14:textId="77777777" w:rsidR="00FF33FF" w:rsidRDefault="00304555">
      <w:r>
        <w:rPr>
          <w:rFonts w:hint="eastAsia"/>
        </w:rPr>
        <w:t xml:space="preserve">　　同样股价下跌但很受关注的，还有全棉时代的生产公司稳健医疗</w:t>
      </w:r>
      <w:r>
        <w:rPr>
          <w:rFonts w:hint="eastAsia"/>
        </w:rPr>
        <w:t>(300888.SZ)</w:t>
      </w:r>
      <w:r>
        <w:rPr>
          <w:rFonts w:hint="eastAsia"/>
        </w:rPr>
        <w:t>，节后累计下跌</w:t>
      </w:r>
      <w:r>
        <w:rPr>
          <w:rFonts w:hint="eastAsia"/>
        </w:rPr>
        <w:t>22.06%</w:t>
      </w:r>
      <w:r>
        <w:rPr>
          <w:rFonts w:hint="eastAsia"/>
        </w:rPr>
        <w:t>，却接受</w:t>
      </w:r>
      <w:proofErr w:type="gramStart"/>
      <w:r>
        <w:rPr>
          <w:rFonts w:hint="eastAsia"/>
        </w:rPr>
        <w:t>了险资</w:t>
      </w:r>
      <w:r>
        <w:rPr>
          <w:rFonts w:hint="eastAsia"/>
        </w:rPr>
        <w:t>6</w:t>
      </w:r>
      <w:r>
        <w:rPr>
          <w:rFonts w:hint="eastAsia"/>
        </w:rPr>
        <w:t>次</w:t>
      </w:r>
      <w:proofErr w:type="gramEnd"/>
      <w:r>
        <w:rPr>
          <w:rFonts w:hint="eastAsia"/>
        </w:rPr>
        <w:t>调研；专注于发展医疗服务的国际医学</w:t>
      </w:r>
      <w:r>
        <w:rPr>
          <w:rFonts w:hint="eastAsia"/>
        </w:rPr>
        <w:t>(000516.SZ)</w:t>
      </w:r>
      <w:r>
        <w:rPr>
          <w:rFonts w:hint="eastAsia"/>
        </w:rPr>
        <w:t>节后累计下跌</w:t>
      </w:r>
      <w:r>
        <w:rPr>
          <w:rFonts w:hint="eastAsia"/>
        </w:rPr>
        <w:t>12.55%</w:t>
      </w:r>
      <w:r>
        <w:rPr>
          <w:rFonts w:hint="eastAsia"/>
        </w:rPr>
        <w:t>，</w:t>
      </w:r>
      <w:proofErr w:type="gramStart"/>
      <w:r>
        <w:rPr>
          <w:rFonts w:hint="eastAsia"/>
        </w:rPr>
        <w:t>险资调研</w:t>
      </w:r>
      <w:proofErr w:type="gramEnd"/>
      <w:r>
        <w:rPr>
          <w:rFonts w:hint="eastAsia"/>
        </w:rPr>
        <w:t>次数达到</w:t>
      </w:r>
      <w:r>
        <w:rPr>
          <w:rFonts w:hint="eastAsia"/>
        </w:rPr>
        <w:t>4</w:t>
      </w:r>
      <w:r>
        <w:rPr>
          <w:rFonts w:hint="eastAsia"/>
        </w:rPr>
        <w:t>次；军工板块的航天发展</w:t>
      </w:r>
      <w:r>
        <w:rPr>
          <w:rFonts w:hint="eastAsia"/>
        </w:rPr>
        <w:t>(000547.SZ)</w:t>
      </w:r>
      <w:r>
        <w:rPr>
          <w:rFonts w:hint="eastAsia"/>
        </w:rPr>
        <w:t>和这两天刚复牌的盛达资源分别累计下跌</w:t>
      </w:r>
      <w:r>
        <w:rPr>
          <w:rFonts w:hint="eastAsia"/>
        </w:rPr>
        <w:t>1.59%</w:t>
      </w:r>
      <w:r>
        <w:rPr>
          <w:rFonts w:hint="eastAsia"/>
        </w:rPr>
        <w:t>、</w:t>
      </w:r>
      <w:r>
        <w:rPr>
          <w:rFonts w:hint="eastAsia"/>
        </w:rPr>
        <w:t>2.24%</w:t>
      </w:r>
      <w:r>
        <w:rPr>
          <w:rFonts w:hint="eastAsia"/>
        </w:rPr>
        <w:t>，</w:t>
      </w:r>
      <w:proofErr w:type="gramStart"/>
      <w:r>
        <w:rPr>
          <w:rFonts w:hint="eastAsia"/>
        </w:rPr>
        <w:t>险资调研</w:t>
      </w:r>
      <w:proofErr w:type="gramEnd"/>
      <w:r>
        <w:rPr>
          <w:rFonts w:hint="eastAsia"/>
        </w:rPr>
        <w:t>次数也都达到</w:t>
      </w:r>
      <w:r>
        <w:rPr>
          <w:rFonts w:hint="eastAsia"/>
        </w:rPr>
        <w:t>4</w:t>
      </w:r>
      <w:r>
        <w:rPr>
          <w:rFonts w:hint="eastAsia"/>
        </w:rPr>
        <w:t>次。除了“越跌越看”，</w:t>
      </w:r>
      <w:proofErr w:type="gramStart"/>
      <w:r>
        <w:rPr>
          <w:rFonts w:hint="eastAsia"/>
        </w:rPr>
        <w:t>险资节后</w:t>
      </w:r>
      <w:proofErr w:type="gramEnd"/>
      <w:r>
        <w:rPr>
          <w:rFonts w:hint="eastAsia"/>
        </w:rPr>
        <w:t>的调研重点也落在中盘股上，包括前述的杰瑞股份、国际医学、航天发展、盛达资源在内</w:t>
      </w:r>
      <w:r>
        <w:rPr>
          <w:rFonts w:hint="eastAsia"/>
        </w:rPr>
        <w:t>，重点调研的西麦食品、联</w:t>
      </w:r>
      <w:proofErr w:type="gramStart"/>
      <w:r>
        <w:rPr>
          <w:rFonts w:hint="eastAsia"/>
        </w:rPr>
        <w:t>创电子</w:t>
      </w:r>
      <w:proofErr w:type="gramEnd"/>
      <w:r>
        <w:rPr>
          <w:rFonts w:hint="eastAsia"/>
        </w:rPr>
        <w:t>(002036.SZ)</w:t>
      </w:r>
      <w:r>
        <w:rPr>
          <w:rFonts w:hint="eastAsia"/>
        </w:rPr>
        <w:t>、</w:t>
      </w:r>
      <w:proofErr w:type="gramStart"/>
      <w:r>
        <w:rPr>
          <w:rFonts w:hint="eastAsia"/>
        </w:rPr>
        <w:t>昆仑万维</w:t>
      </w:r>
      <w:proofErr w:type="gramEnd"/>
      <w:r>
        <w:rPr>
          <w:rFonts w:hint="eastAsia"/>
        </w:rPr>
        <w:t>(300418.SZ)</w:t>
      </w:r>
      <w:r>
        <w:rPr>
          <w:rFonts w:hint="eastAsia"/>
        </w:rPr>
        <w:t>等总市值均未超过</w:t>
      </w:r>
      <w:r>
        <w:rPr>
          <w:rFonts w:hint="eastAsia"/>
        </w:rPr>
        <w:t>500</w:t>
      </w:r>
      <w:r>
        <w:rPr>
          <w:rFonts w:hint="eastAsia"/>
        </w:rPr>
        <w:t>亿元。其中，西麦食品最新市值仅有</w:t>
      </w:r>
      <w:r>
        <w:rPr>
          <w:rFonts w:hint="eastAsia"/>
        </w:rPr>
        <w:t>51.12</w:t>
      </w:r>
      <w:r>
        <w:rPr>
          <w:rFonts w:hint="eastAsia"/>
        </w:rPr>
        <w:t>亿元，</w:t>
      </w:r>
      <w:proofErr w:type="gramStart"/>
      <w:r>
        <w:rPr>
          <w:rFonts w:hint="eastAsia"/>
        </w:rPr>
        <w:t>节后已</w:t>
      </w:r>
      <w:proofErr w:type="gramEnd"/>
      <w:r>
        <w:rPr>
          <w:rFonts w:hint="eastAsia"/>
        </w:rPr>
        <w:t>累计上涨</w:t>
      </w:r>
      <w:r>
        <w:rPr>
          <w:rFonts w:hint="eastAsia"/>
        </w:rPr>
        <w:t>25.00%</w:t>
      </w:r>
      <w:r>
        <w:rPr>
          <w:rFonts w:hint="eastAsia"/>
        </w:rPr>
        <w:t>。</w:t>
      </w:r>
    </w:p>
    <w:p w14:paraId="544D4303" w14:textId="77777777" w:rsidR="00FF33FF" w:rsidRDefault="00FF33FF"/>
    <w:p w14:paraId="3310B8FC" w14:textId="77777777" w:rsidR="00FF33FF" w:rsidRDefault="00FF33FF"/>
    <w:p w14:paraId="23956ECB" w14:textId="77777777" w:rsidR="00FF33FF" w:rsidRDefault="00FF33FF"/>
    <w:p w14:paraId="0E2B4CB2" w14:textId="77777777" w:rsidR="00FF33FF" w:rsidRDefault="00FF33FF">
      <w:pPr>
        <w:widowControl/>
        <w:spacing w:line="27" w:lineRule="atLeast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2E29F10D" w14:textId="77777777" w:rsidR="00FF33FF" w:rsidRDefault="00FF33FF">
      <w:pPr>
        <w:widowControl/>
        <w:spacing w:line="27" w:lineRule="atLeast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1A1155E5" w14:textId="77777777" w:rsidR="00FF33FF" w:rsidRDefault="00FF33FF">
      <w:pPr>
        <w:widowControl/>
        <w:spacing w:line="27" w:lineRule="atLeast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2618E153" w14:textId="77777777" w:rsidR="00FF33FF" w:rsidRDefault="00FF33FF">
      <w:pPr>
        <w:widowControl/>
        <w:spacing w:line="27" w:lineRule="atLeast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4A5F4D8C" w14:textId="77777777" w:rsidR="00FF33FF" w:rsidRDefault="00FF33FF">
      <w:pPr>
        <w:rPr>
          <w:rFonts w:ascii="Helvetica" w:eastAsia="宋体" w:hAnsi="Helvetica" w:cs="Helvetica"/>
          <w:color w:val="33353C"/>
          <w:sz w:val="27"/>
          <w:szCs w:val="27"/>
        </w:rPr>
      </w:pPr>
    </w:p>
    <w:p w14:paraId="452EC276" w14:textId="77777777" w:rsidR="00FF33FF" w:rsidRDefault="00FF33FF">
      <w:pPr>
        <w:rPr>
          <w:rFonts w:ascii="Helvetica" w:eastAsia="宋体" w:hAnsi="Helvetica" w:cs="Helvetica"/>
          <w:color w:val="33353C"/>
          <w:sz w:val="27"/>
          <w:szCs w:val="27"/>
        </w:rPr>
      </w:pPr>
    </w:p>
    <w:p w14:paraId="585CF78E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</w:p>
    <w:p w14:paraId="0191F7A1" w14:textId="77777777" w:rsidR="00FF33FF" w:rsidRDefault="00304555">
      <w:pPr>
        <w:pStyle w:val="1"/>
      </w:pPr>
      <w:r>
        <w:rPr>
          <w:rFonts w:hint="eastAsia"/>
        </w:rPr>
        <w:t>新港线</w:t>
      </w:r>
    </w:p>
    <w:p w14:paraId="57D58453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</w:p>
    <w:p w14:paraId="35423DC5" w14:textId="77777777" w:rsidR="00FF33FF" w:rsidRDefault="00304555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  <w:hyperlink r:id="rId8" w:history="1">
        <w:r>
          <w:rPr>
            <w:rStyle w:val="a5"/>
            <w:rFonts w:ascii="Microsoft YaHei UI" w:eastAsia="Microsoft YaHei UI" w:hAnsi="Microsoft YaHei UI" w:cs="Microsoft YaHei UI" w:hint="eastAsia"/>
            <w:spacing w:val="7"/>
            <w:sz w:val="25"/>
            <w:szCs w:val="25"/>
            <w:shd w:val="clear" w:color="auto" w:fill="FFFFFF"/>
          </w:rPr>
          <w:t>https://mp.weixin.qq.com/s/bS6BHgSS0rdIsYwXjvdAmA</w:t>
        </w:r>
      </w:hyperlink>
    </w:p>
    <w:p w14:paraId="494876CC" w14:textId="77777777" w:rsidR="00FF33FF" w:rsidRDefault="00304555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114300" distR="114300" wp14:anchorId="7E28BB5E" wp14:editId="7BA912E9">
            <wp:extent cx="5270500" cy="2232025"/>
            <wp:effectExtent l="0" t="0" r="635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4DD7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</w:p>
    <w:p w14:paraId="7F713A39" w14:textId="77777777" w:rsidR="00FF33FF" w:rsidRDefault="00304555">
      <w:pPr>
        <w:pStyle w:val="1"/>
      </w:pPr>
      <w:r>
        <w:rPr>
          <w:rFonts w:hint="eastAsia"/>
        </w:rPr>
        <w:t>2.5</w:t>
      </w:r>
      <w:r>
        <w:rPr>
          <w:rFonts w:hint="eastAsia"/>
        </w:rPr>
        <w:t>环</w:t>
      </w:r>
    </w:p>
    <w:p w14:paraId="35D38622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</w:p>
    <w:p w14:paraId="0ECD8FB6" w14:textId="77777777" w:rsidR="00FF33FF" w:rsidRDefault="00304555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7"/>
          <w:sz w:val="25"/>
          <w:szCs w:val="25"/>
          <w:shd w:val="clear" w:color="auto" w:fill="FFFFFF"/>
        </w:rPr>
        <w:lastRenderedPageBreak/>
        <w:drawing>
          <wp:inline distT="0" distB="0" distL="114300" distR="114300" wp14:anchorId="204767F6" wp14:editId="6E6C10D2">
            <wp:extent cx="5266690" cy="2925445"/>
            <wp:effectExtent l="0" t="0" r="10160" b="8255"/>
            <wp:docPr id="2" name="图片 2" descr="b57651bd8d271553e45049c5e83f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57651bd8d271553e45049c5e83f6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5EC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</w:p>
    <w:p w14:paraId="79978066" w14:textId="77777777" w:rsidR="00FF33FF" w:rsidRDefault="00304555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  <w:r>
        <w:rPr>
          <w:rFonts w:ascii="Microsoft YaHei UI" w:eastAsia="Microsoft YaHei UI" w:hAnsi="Microsoft YaHei UI" w:cs="Microsoft YaHei UI" w:hint="eastAsia"/>
          <w:color w:val="333333"/>
          <w:spacing w:val="7"/>
          <w:sz w:val="25"/>
          <w:szCs w:val="25"/>
          <w:shd w:val="clear" w:color="auto" w:fill="FFFFFF"/>
        </w:rPr>
        <w:t>工业路和友谊大道交叉路口上面高架。</w:t>
      </w:r>
    </w:p>
    <w:p w14:paraId="4425B806" w14:textId="77777777" w:rsidR="00FF33FF" w:rsidRDefault="00304555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7"/>
          <w:sz w:val="25"/>
          <w:szCs w:val="25"/>
          <w:shd w:val="clear" w:color="auto" w:fill="FFFFFF"/>
        </w:rPr>
        <w:drawing>
          <wp:inline distT="0" distB="0" distL="114300" distR="114300" wp14:anchorId="42CE3AEE" wp14:editId="7CB79300">
            <wp:extent cx="5266690" cy="3291840"/>
            <wp:effectExtent l="0" t="0" r="10160" b="3810"/>
            <wp:docPr id="7" name="图片 7" descr="武汉2.5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武汉2.5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877" w14:textId="77777777" w:rsidR="00FF33FF" w:rsidRDefault="00304555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7"/>
          <w:sz w:val="25"/>
          <w:szCs w:val="25"/>
          <w:shd w:val="clear" w:color="auto" w:fill="FFFFFF"/>
        </w:rPr>
        <w:lastRenderedPageBreak/>
        <w:drawing>
          <wp:inline distT="0" distB="0" distL="114300" distR="114300" wp14:anchorId="298F5F56" wp14:editId="7C49354A">
            <wp:extent cx="4248785" cy="8843010"/>
            <wp:effectExtent l="0" t="0" r="18415" b="15240"/>
            <wp:docPr id="3" name="图片 3" descr="89021b6114a871e9365397259b04a1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9021b6114a871e9365397259b04a1f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08B7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</w:p>
    <w:p w14:paraId="21421525" w14:textId="77777777" w:rsidR="00FF33FF" w:rsidRDefault="00304555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  <w:hyperlink r:id="rId13" w:history="1">
        <w:r>
          <w:rPr>
            <w:rStyle w:val="a5"/>
            <w:rFonts w:ascii="Microsoft YaHei UI" w:eastAsia="Microsoft YaHei UI" w:hAnsi="Microsoft YaHei UI" w:cs="Microsoft YaHei UI" w:hint="eastAsia"/>
            <w:spacing w:val="7"/>
            <w:sz w:val="25"/>
            <w:szCs w:val="25"/>
            <w:shd w:val="clear" w:color="auto" w:fill="FFFFFF"/>
          </w:rPr>
          <w:t>https://3g.163.com/dy/article/FNC3QFV00534FOQ8.html</w:t>
        </w:r>
      </w:hyperlink>
    </w:p>
    <w:p w14:paraId="7F31FCE9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5"/>
          <w:szCs w:val="25"/>
          <w:shd w:val="clear" w:color="auto" w:fill="FFFFFF"/>
        </w:rPr>
      </w:pPr>
    </w:p>
    <w:p w14:paraId="3BC079FF" w14:textId="77777777" w:rsidR="00FF33FF" w:rsidRDefault="00304555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F8E49ED" wp14:editId="30B6CE42">
            <wp:extent cx="304800" cy="30480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013868D" wp14:editId="381DC17D">
            <wp:extent cx="304800" cy="304800"/>
            <wp:effectExtent l="0" t="0" r="0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894B266" wp14:editId="2B8CD2AA">
            <wp:extent cx="5268595" cy="3780790"/>
            <wp:effectExtent l="0" t="0" r="825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EF25" w14:textId="77777777" w:rsidR="00FF33FF" w:rsidRDefault="00FF33FF"/>
    <w:p w14:paraId="58275188" w14:textId="77777777" w:rsidR="00FF33FF" w:rsidRDefault="00304555">
      <w:r>
        <w:rPr>
          <w:rFonts w:hint="eastAsia"/>
          <w:noProof/>
        </w:rPr>
        <w:lastRenderedPageBreak/>
        <w:drawing>
          <wp:inline distT="0" distB="0" distL="114300" distR="114300" wp14:anchorId="547A94E7" wp14:editId="7DAF5741">
            <wp:extent cx="5273040" cy="7456170"/>
            <wp:effectExtent l="0" t="0" r="3810" b="11430"/>
            <wp:docPr id="8" name="图片 8" descr="4276654a4c3a14970cbd8f810ee8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276654a4c3a14970cbd8f810ee851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A83E" w14:textId="77777777" w:rsidR="00FF33FF" w:rsidRDefault="00FF33FF"/>
    <w:p w14:paraId="11964A90" w14:textId="77777777" w:rsidR="00FF33FF" w:rsidRDefault="00FF33FF"/>
    <w:p w14:paraId="6250F163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7"/>
          <w:szCs w:val="27"/>
          <w:shd w:val="clear" w:color="auto" w:fill="FFFFFF"/>
        </w:rPr>
      </w:pPr>
    </w:p>
    <w:p w14:paraId="56493C5A" w14:textId="77777777" w:rsidR="00FF33FF" w:rsidRDefault="00FF33FF">
      <w:pPr>
        <w:rPr>
          <w:rFonts w:ascii="Microsoft YaHei UI" w:eastAsia="Microsoft YaHei UI" w:hAnsi="Microsoft YaHei UI" w:cs="Microsoft YaHei UI"/>
          <w:color w:val="333333"/>
          <w:spacing w:val="7"/>
          <w:sz w:val="27"/>
          <w:szCs w:val="27"/>
          <w:shd w:val="clear" w:color="auto" w:fill="FFFFFF"/>
        </w:rPr>
      </w:pPr>
    </w:p>
    <w:p w14:paraId="529D3D48" w14:textId="77777777" w:rsidR="00FF33FF" w:rsidRDefault="00FF33FF"/>
    <w:p w14:paraId="7544E545" w14:textId="77777777" w:rsidR="00FF33FF" w:rsidRDefault="00FF33FF"/>
    <w:p w14:paraId="6F1C7A68" w14:textId="77777777" w:rsidR="00FF33FF" w:rsidRDefault="00304555">
      <w:r>
        <w:rPr>
          <w:rFonts w:hint="eastAsia"/>
        </w:rPr>
        <w:t>任何东西都是当下，</w:t>
      </w:r>
      <w:r>
        <w:rPr>
          <w:rFonts w:hint="eastAsia"/>
        </w:rPr>
        <w:t xml:space="preserve"> </w:t>
      </w:r>
      <w:r>
        <w:rPr>
          <w:rFonts w:hint="eastAsia"/>
        </w:rPr>
        <w:t>未来行情无法预测。</w:t>
      </w:r>
      <w:r>
        <w:rPr>
          <w:rFonts w:hint="eastAsia"/>
        </w:rPr>
        <w:t xml:space="preserve"> </w:t>
      </w:r>
    </w:p>
    <w:p w14:paraId="3290C8D1" w14:textId="77777777" w:rsidR="00FF33FF" w:rsidRDefault="00FF33FF"/>
    <w:p w14:paraId="7774B617" w14:textId="77777777" w:rsidR="00FF33FF" w:rsidRDefault="00304555">
      <w:r>
        <w:rPr>
          <w:rFonts w:hint="eastAsia"/>
        </w:rPr>
        <w:t>有因才有果，</w:t>
      </w:r>
      <w:r>
        <w:rPr>
          <w:rFonts w:hint="eastAsia"/>
        </w:rPr>
        <w:t xml:space="preserve"> </w:t>
      </w:r>
      <w:r>
        <w:rPr>
          <w:rFonts w:hint="eastAsia"/>
        </w:rPr>
        <w:t>买点买，</w:t>
      </w:r>
      <w:r>
        <w:rPr>
          <w:rFonts w:hint="eastAsia"/>
        </w:rPr>
        <w:t xml:space="preserve"> </w:t>
      </w:r>
      <w:r>
        <w:rPr>
          <w:rFonts w:hint="eastAsia"/>
        </w:rPr>
        <w:t>卖点卖。</w:t>
      </w:r>
      <w:r>
        <w:rPr>
          <w:rFonts w:hint="eastAsia"/>
        </w:rPr>
        <w:t xml:space="preserve"> </w:t>
      </w:r>
    </w:p>
    <w:p w14:paraId="537A8B16" w14:textId="77777777" w:rsidR="00FF33FF" w:rsidRDefault="00FF33FF"/>
    <w:p w14:paraId="1F36B937" w14:textId="77777777" w:rsidR="00FF33FF" w:rsidRDefault="00FF33FF"/>
    <w:p w14:paraId="116C2DE1" w14:textId="77777777" w:rsidR="00FF33FF" w:rsidRDefault="00304555">
      <w:r>
        <w:rPr>
          <w:noProof/>
        </w:rPr>
        <w:drawing>
          <wp:inline distT="0" distB="0" distL="114300" distR="114300" wp14:anchorId="4AB343AF" wp14:editId="5A388024">
            <wp:extent cx="5271135" cy="2781935"/>
            <wp:effectExtent l="0" t="0" r="5715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33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CB0D7" w14:textId="77777777" w:rsidR="00304555" w:rsidRDefault="00304555" w:rsidP="00D37E5A">
      <w:r>
        <w:separator/>
      </w:r>
    </w:p>
  </w:endnote>
  <w:endnote w:type="continuationSeparator" w:id="0">
    <w:p w14:paraId="640EBF5F" w14:textId="77777777" w:rsidR="00304555" w:rsidRDefault="00304555" w:rsidP="00D37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6E310" w14:textId="77777777" w:rsidR="00304555" w:rsidRDefault="00304555" w:rsidP="00D37E5A">
      <w:r>
        <w:separator/>
      </w:r>
    </w:p>
  </w:footnote>
  <w:footnote w:type="continuationSeparator" w:id="0">
    <w:p w14:paraId="56AC2D3B" w14:textId="77777777" w:rsidR="00304555" w:rsidRDefault="00304555" w:rsidP="00D37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33414EA"/>
    <w:multiLevelType w:val="singleLevel"/>
    <w:tmpl w:val="F33414EA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33FF"/>
    <w:rsid w:val="0021303F"/>
    <w:rsid w:val="00227185"/>
    <w:rsid w:val="00304555"/>
    <w:rsid w:val="00402018"/>
    <w:rsid w:val="00536C45"/>
    <w:rsid w:val="00AD44F6"/>
    <w:rsid w:val="00D04C7C"/>
    <w:rsid w:val="00D37E5A"/>
    <w:rsid w:val="00E9159D"/>
    <w:rsid w:val="00FF33FF"/>
    <w:rsid w:val="0160417D"/>
    <w:rsid w:val="0395488E"/>
    <w:rsid w:val="0454156F"/>
    <w:rsid w:val="052C3C0C"/>
    <w:rsid w:val="085E4449"/>
    <w:rsid w:val="0A88163F"/>
    <w:rsid w:val="0AA50358"/>
    <w:rsid w:val="0DFA1334"/>
    <w:rsid w:val="10836F17"/>
    <w:rsid w:val="108D740C"/>
    <w:rsid w:val="11430F0B"/>
    <w:rsid w:val="137A4869"/>
    <w:rsid w:val="13E51788"/>
    <w:rsid w:val="1C1B7577"/>
    <w:rsid w:val="1DCF54FE"/>
    <w:rsid w:val="216E5551"/>
    <w:rsid w:val="236F50B4"/>
    <w:rsid w:val="27962B59"/>
    <w:rsid w:val="28BB7416"/>
    <w:rsid w:val="2F6D64BB"/>
    <w:rsid w:val="323C3350"/>
    <w:rsid w:val="34580E63"/>
    <w:rsid w:val="349F723C"/>
    <w:rsid w:val="35FC61E3"/>
    <w:rsid w:val="37A10A35"/>
    <w:rsid w:val="3F8B2FB9"/>
    <w:rsid w:val="411853B5"/>
    <w:rsid w:val="4249114A"/>
    <w:rsid w:val="424A6D86"/>
    <w:rsid w:val="4A3C1A7D"/>
    <w:rsid w:val="4B3E0A91"/>
    <w:rsid w:val="4DFB4E27"/>
    <w:rsid w:val="509B5A66"/>
    <w:rsid w:val="539A23BD"/>
    <w:rsid w:val="609836B1"/>
    <w:rsid w:val="65EF007F"/>
    <w:rsid w:val="695371AA"/>
    <w:rsid w:val="6A4F687B"/>
    <w:rsid w:val="6BCC4314"/>
    <w:rsid w:val="72FC4E7A"/>
    <w:rsid w:val="73DE1F7F"/>
    <w:rsid w:val="74753E83"/>
    <w:rsid w:val="75782746"/>
    <w:rsid w:val="77FE1BB5"/>
    <w:rsid w:val="7A0A38D9"/>
    <w:rsid w:val="7CA9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637BAF"/>
  <w15:docId w15:val="{EB94ABCF-1BC1-4F73-92D8-24DCB785D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rPr>
      <w:color w:val="0000FF"/>
      <w:u w:val="single"/>
    </w:rPr>
  </w:style>
  <w:style w:type="character" w:customStyle="1" w:styleId="10">
    <w:name w:val="标题 1 字符"/>
    <w:link w:val="1"/>
    <w:rPr>
      <w:b/>
      <w:kern w:val="44"/>
      <w:sz w:val="44"/>
    </w:rPr>
  </w:style>
  <w:style w:type="paragraph" w:styleId="a6">
    <w:name w:val="header"/>
    <w:basedOn w:val="a"/>
    <w:link w:val="a7"/>
    <w:rsid w:val="00D37E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D37E5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D37E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D37E5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/bS6BHgSS0rdIsYwXjvdAmA" TargetMode="External"/><Relationship Id="rId13" Type="http://schemas.openxmlformats.org/officeDocument/2006/relationships/hyperlink" Target="https://3g.163.com/dy/article/FNC3QFV00534FOQ8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NUL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</Pages>
  <Words>199</Words>
  <Characters>1136</Characters>
  <Application>Microsoft Office Word</Application>
  <DocSecurity>0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margi</dc:creator>
  <cp:lastModifiedBy>Hu Margin</cp:lastModifiedBy>
  <cp:revision>8</cp:revision>
  <dcterms:created xsi:type="dcterms:W3CDTF">2014-10-29T12:08:00Z</dcterms:created>
  <dcterms:modified xsi:type="dcterms:W3CDTF">2021-03-08T00:35:00Z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