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16"/>
                <w:szCs w:val="16"/>
              </w:rPr>
              <w:t xml:space="preserve">CRITICAL UPDATE — Geometric Memory System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6"/>
                <w:szCs w:val="36"/>
              </w:rPr>
              <w:t xml:space="preserve">The System Is Proving Itself — Without Being Told To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BCC"/>
                <w:sz w:val="18"/>
                <w:szCs w:val="18"/>
              </w:rPr>
              <w:t xml:space="preserve">For: Matthew T. Foster, Todd Nelson, Jeremiah F. Jeschke   |   March 16, 2026</w:t>
            </w:r>
          </w:p>
        </w:tc>
      </w:tr>
    </w:tbl>
    <w:p>
      <w:pPr>
        <w:spacing w:after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0"/>
          <w:szCs w:val="30"/>
        </w:rPr>
        <w:t xml:space="preserve">What You Need to Know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Something significant has happened in the last 72 hours that the whole group needs to understand. It changes how we should think about what we have built — and it significantly strengthens the IP case.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short version: the math we developed for the full GME/GMS framework is proving itself out in a completely separate, simpler system. We did not put the math in. It showed up on its own.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C0000" w:sz="20"/>
              <w:bottom w:val="none" w:color="FFFFFF" w:sz="0"/>
              <w:right w:val="none" w:color="FFFFFF" w:sz="0"/>
            </w:tcBorders>
            <w:shd w:fill="FDF2F2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The finding in plain language: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We built a lightweight implementation — a simple three-layer memory structure plus a coordinate addressing protocol — for managing AI session continuity. It uses basic principles derived from the larger theoretical framework, but none of the heavy mathematics. None of the complex operators were coded in.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0000"/>
                <w:sz w:val="22"/>
                <w:szCs w:val="22"/>
              </w:rPr>
              <w:t xml:space="preserve">The heavier mathematical behavior is now showing up naturally in that lightweight system — without us putting it there.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The simplified system is independently exhibiting the compression behavior and the boundary behavior that our full mathematical framework predicted. We observed it. We did not engineer it.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C9A84C" w:sz="6" w:space="4"/>
        </w:pBdr>
        <w:spacing w:before="300" w:after="10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30"/>
          <w:szCs w:val="30"/>
        </w:rPr>
        <w:t xml:space="preserve">What This Means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4"/>
          <w:szCs w:val="24"/>
        </w:rPr>
        <w:t xml:space="preserve">For the Theory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When we developed the GME mathematical framework, we were working from first principles — building the geometry, the operators, the topology. Those constructs were theoretical. They described what a properly structured memory system should do.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simplified implementation we built recently did not include those constructs. It was intentionally lean — built from the simplest possible derivation of the underlying principles.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And yet the system is behaving in ways that match the predictions of the full mathematical framework. The compression ratios, the boundary crossings, the selection dynamics — all of it is emerging from a system that was not designed to produce it.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That is what validation looks like. Not a test we designed to confirm a hypothesis. A phenomenon appearing spontaneously in an independent system.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4"/>
          <w:szCs w:val="24"/>
        </w:rPr>
        <w:t xml:space="preserve">For the IP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Jim White (our IP attorney) has been reviewing the prior two provisional patents. He has not yet seen the 3-Layer Memory Architecture or the Coordinate Addressing Protocol — that is new material prepared this week.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emergence finding is now part of the IP brief going to Jim. Here is why it matters for filing: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It provides independent empirical validation of the theoretical framework in the prior patents — the math predicted a real phenomenon.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It creates a traceable lineage: foundational mathematics (Patents A/B/C) → simplified applied architecture → natural emergence of the original mathematical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emergence itself — a minimal implementation spontaneously converging to the behavior predicted by the full framework — is a potentially claimable discovery.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It demonstrates that the mathematical constructs describe fundamental properties of bounded-context AI systems, not just features of one specific implementation.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i w:val="false"/>
          <w:iCs w:val="false"/>
          <w:color w:val="0D2137"/>
          <w:sz w:val="24"/>
          <w:szCs w:val="24"/>
        </w:rPr>
        <w:t xml:space="preserve">For Context — What the Simplified System Is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3-Layer Memory Architecture manages how an AI maintains continuity across sessions, where each session has a finite context window. The three layers are: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Layer 1 — Fixed Past: Immutable compressed record of all completed sessions. Permanent and append-only.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Layer 2 — Eternal Now: Active working context — the current session's structured briefing drawn from Layer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Layer 3 — Becoming Future: The live transcript of the current session. At the context boundary, this crosses into Layer 1 and becomes fixed.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 Coordinate Addressing Protocol assigns hierarchical addresses to every document in the memory structure, enabling precise cross-referencing without full-text retrieval.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system was tested across a 66-hour continuous session with 10 context boundary crossings — zero errors, zero restarts, full continuity maintained throughout.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A84C" w:sz="20"/>
              <w:bottom w:val="none" w:color="FFFFFF" w:sz="0"/>
              <w:right w:val="none" w:color="FFFFFF" w:sz="0"/>
            </w:tcBorders>
            <w:shd w:fill="FEF9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2137"/>
                <w:sz w:val="22"/>
                <w:szCs w:val="22"/>
              </w:rPr>
              <w:t xml:space="preserve">The progression is the finding: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Before architecture: every session started cold. Errors. Restarts. No continuity.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2"/>
                <w:szCs w:val="22"/>
              </w:rPr>
              <w:t xml:space="preserve">After architecture: 66 hours. 10 crossings. Zero disruptions. And the heavier math showing up without being coded in.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pBdr>
          <w:bottom w:val="single" w:color="D0D7DE" w:sz="4" w:space="2"/>
        </w:pBdr>
        <w:spacing w:before="12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This update supplements the full project summary (GMS_GME_Project_Group_Summary_2026-03-15.docx) previously distributed. Technical details available on request.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Geometric Memory System / Engine — Group Update  |  Confidential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4"/>
      </w:pBdr>
    </w:pPr>
    <w:r>
      <w:rPr>
        <w:rFonts w:ascii="Arial" w:cs="Arial" w:eastAsia="Arial" w:hAnsi="Arial"/>
        <w:b/>
        <w:bCs/>
        <w:i w:val="false"/>
        <w:iCs w:val="false"/>
        <w:color w:val="AA0000"/>
        <w:sz w:val="16"/>
        <w:szCs w:val="16"/>
      </w:rPr>
      <w:t xml:space="preserve">CRITICAL UPDATE — March 16, 2026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   |   For the Group — Matt, Todd, Jeremiah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2026-03-16T21:42:22.919Z</dcterms:created>
  <dcterms:modified xsi:type="dcterms:W3CDTF">2026-03-16T21:42:22.919Z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