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F4E79"/>
          <w:sz w:val="52"/>
          <w:szCs w:val="52"/>
        </w:rPr>
        <w:t xml:space="preserve">Three-Layer Memory Architecture</w:t>
      </w:r>
    </w:p>
    <w:p>
      <w:pPr>
        <w:spacing w:before="0" w:after="60"/>
      </w:pPr>
      <w:r>
        <w:rPr>
          <w:rFonts w:ascii="Arial" w:cs="Arial" w:eastAsia="Arial" w:hAnsi="Arial"/>
          <w:b/>
          <w:bCs/>
          <w:color w:val="2E75B6"/>
          <w:sz w:val="44"/>
          <w:szCs w:val="44"/>
        </w:rPr>
        <w:t xml:space="preserve">&amp; Pascal Pyramid Protocol</w:t>
      </w:r>
    </w:p>
    <w:p>
      <w:pPr>
        <w:spacing w:before="0" w:after="40"/>
      </w:pPr>
      <w:r>
        <w:rPr>
          <w:rFonts w:ascii="Arial" w:cs="Arial" w:eastAsia="Arial" w:hAnsi="Arial"/>
          <w:color w:val="555555"/>
          <w:sz w:val="28"/>
          <w:szCs w:val="28"/>
        </w:rPr>
        <w:t xml:space="preserve">Testing Results — Sessions 001–007</w:t>
      </w:r>
    </w:p>
    <w:p>
      <w:pPr>
        <w:spacing w:before="0" w:after="240"/>
      </w:pPr>
      <w:r>
        <w:rPr>
          <w:rFonts w:ascii="Arial" w:cs="Arial" w:eastAsia="Arial" w:hAnsi="Arial"/>
          <w:i/>
          <w:iCs/>
          <w:color w:val="888888"/>
          <w:sz w:val="22"/>
          <w:szCs w:val="22"/>
        </w:rPr>
        <w:t xml:space="preserve">Geometric Memory Systems  |  Michael Guarino  |  March 2026</w:t>
      </w:r>
    </w:p>
    <w:p>
      <w:pPr>
        <w:pBdr>
          <w:bottom w:val="single" w:color="2E75B6" w:sz="4" w:space="1"/>
        </w:pBdr>
        <w:spacing w:before="160" w:after="160"/>
      </w:pPr>
      <w:r>
        <w:t xml:space="preserve"/>
      </w:r>
    </w:p>
    <w:p>
      <w:pPr>
        <w:spacing w:before="80" w:after="0"/>
      </w:pPr>
      <w:r>
        <w:t xml:space="preserve"/>
      </w:r>
    </w:p>
    <w:p>
      <w:pPr>
        <w:pStyle w:val="Heading1"/>
        <w:spacing w:before="320" w:after="160"/>
      </w:pPr>
      <w:r>
        <w:rPr>
          <w:rFonts w:ascii="Arial" w:cs="Arial" w:eastAsia="Arial" w:hAnsi="Arial"/>
          <w:b/>
          <w:bCs/>
          <w:color w:val="1F4E79"/>
          <w:sz w:val="32"/>
          <w:szCs w:val="32"/>
        </w:rPr>
        <w:t xml:space="preserve">1. What We Built and Why</w:t>
      </w:r>
    </w:p>
    <w:p>
      <w:pPr>
        <w:spacing w:before="80" w:after="100"/>
      </w:pPr>
      <w:r>
        <w:rPr>
          <w:rFonts w:ascii="Arial" w:cs="Arial" w:eastAsia="Arial" w:hAnsi="Arial"/>
          <w:color w:val="1A1A1A"/>
          <w:sz w:val="22"/>
          <w:szCs w:val="22"/>
        </w:rPr>
        <w:t xml:space="preserve">A core challenge in working with AI assistants like Claude across multiple sessions is memory loss. Each new conversation starts cold — the AI has no knowledge of prior work, decisions made, terminology developed, or context built up over weeks. This creates a recurring "cold start" problem that taxes both the human and the AI, and limits what complex, multi-session projects can accomplish.</w:t>
      </w:r>
    </w:p>
    <w:p>
      <w:pPr>
        <w:spacing w:before="120" w:after="0"/>
      </w:pPr>
      <w:r>
        <w:t xml:space="preserve"/>
      </w:r>
    </w:p>
    <w:p>
      <w:pPr>
        <w:spacing w:before="80" w:after="100"/>
      </w:pPr>
      <w:r>
        <w:rPr>
          <w:rFonts w:ascii="Arial" w:cs="Arial" w:eastAsia="Arial" w:hAnsi="Arial"/>
          <w:color w:val="1A1A1A"/>
          <w:sz w:val="22"/>
          <w:szCs w:val="22"/>
        </w:rPr>
        <w:t xml:space="preserve">We designed and tested a system to solve this — without waiting for AI vendors to build native long-term memory into their products. The system has two components that work together: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80"/>
            </w:pPr>
            <w:r>
              <w:rPr>
                <w:rFonts w:ascii="Arial" w:cs="Arial" w:eastAsia="Arial" w:hAnsi="Arial"/>
                <w:b/>
                <w:bCs/>
                <w:color w:val="1F4E79"/>
                <w:sz w:val="20"/>
                <w:szCs w:val="20"/>
              </w:rPr>
              <w:t xml:space="preserve">Three-Layer Memory Architecture</w:t>
            </w:r>
          </w:p>
          <w:p>
            <w:r>
              <w:rPr>
                <w:rFonts w:ascii="Arial" w:cs="Arial" w:eastAsia="Arial" w:hAnsi="Arial"/>
                <w:color w:val="1A1A1A"/>
                <w:sz w:val="20"/>
                <w:szCs w:val="20"/>
              </w:rPr>
              <w:t xml:space="preserve">A structured external memory system using three files at different levels of granularity — mirroring how human memory works (working memory, episodic memory, archival memory).</w:t>
            </w:r>
          </w:p>
        </w:tc>
        <w:tc>
          <w:tcPr>
            <w:tcW w:type="dxa" w:w="360"/>
            <w:tcBorders>
              <w:top w:val="none" w:color="FFFFFF" w:sz="0"/>
              <w:left w:val="none" w:color="FFFFFF" w:sz="0"/>
              <w:bottom w:val="none" w:color="FFFFFF" w:sz="0"/>
              <w:right w:val="none" w:color="FFFFFF" w:sz="0"/>
            </w:tcBorders>
          </w:tcPr>
          <w:p>
            <w:r>
              <w:t xml:space="preserve"/>
            </w:r>
          </w:p>
        </w:tc>
        <w:tc>
          <w:tcPr>
            <w:tcW w:type="dxa" w:w="450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80"/>
            </w:pPr>
            <w:r>
              <w:rPr>
                <w:rFonts w:ascii="Arial" w:cs="Arial" w:eastAsia="Arial" w:hAnsi="Arial"/>
                <w:b/>
                <w:bCs/>
                <w:color w:val="1F4E79"/>
                <w:sz w:val="20"/>
                <w:szCs w:val="20"/>
              </w:rPr>
              <w:t xml:space="preserve">Pascal Pyramid Protocol</w:t>
            </w:r>
          </w:p>
          <w:p>
            <w:r>
              <w:rPr>
                <w:rFonts w:ascii="Arial" w:cs="Arial" w:eastAsia="Arial" w:hAnsi="Arial"/>
                <w:color w:val="1A1A1A"/>
                <w:sz w:val="20"/>
                <w:szCs w:val="20"/>
              </w:rPr>
              <w:t xml:space="preserve">A geometric coordinate system for filing and cross-referencing documents, so that navigation between related materials requires only a short address rather than full prose re-explanation.</w:t>
            </w:r>
          </w:p>
        </w:tc>
      </w:tr>
    </w:tbl>
    <w:p>
      <w:pPr>
        <w:spacing w:before="160" w:after="0"/>
      </w:pPr>
      <w:r>
        <w:t xml:space="preserve"/>
      </w:r>
    </w:p>
    <w:p>
      <w:pPr>
        <w:pStyle w:val="Heading1"/>
        <w:spacing w:before="320" w:after="160"/>
      </w:pPr>
      <w:r>
        <w:rPr>
          <w:rFonts w:ascii="Arial" w:cs="Arial" w:eastAsia="Arial" w:hAnsi="Arial"/>
          <w:b/>
          <w:bCs/>
          <w:color w:val="1F4E79"/>
          <w:sz w:val="32"/>
          <w:szCs w:val="32"/>
        </w:rPr>
        <w:t xml:space="preserve">2. The Three-Layer Memory Architecture</w:t>
      </w:r>
    </w:p>
    <w:p>
      <w:pPr>
        <w:spacing w:before="80" w:after="100"/>
      </w:pPr>
      <w:r>
        <w:rPr>
          <w:rFonts w:ascii="Arial" w:cs="Arial" w:eastAsia="Arial" w:hAnsi="Arial"/>
          <w:color w:val="1A1A1A"/>
          <w:sz w:val="22"/>
          <w:szCs w:val="22"/>
        </w:rPr>
        <w:t xml:space="preserve">The system uses three layers, each with a different purpose and a different frequency of use:</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880"/>
      </w:tblGrid>
      <w:tr>
        <w:trPr>
          <w:tblHeader/>
        </w:trP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 / Source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 &amp; Frequency</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Layer 1 — Fixed Past</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MASTER_BRIEFING.md</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Read every session. The single authoritative source of truth — all entities, routing rules, terminology, and conventions. Never grows unbounded — only architecture-level facts live here.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20"/>
                <w:szCs w:val="20"/>
              </w:rPr>
              <w:t xml:space="preserve">Layer 2 — Eternal Now</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Session Logs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Read on demand (most recent only). Distilled records of what each session accomplished, decided, and deferred. Any session is equally accessible — none recede into archive.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Layer 3 — Becoming Future</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Full Transcripts</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Never read at session start. Immutable source archive — referenced when a specific past exchange needs to be verified. Growing, open-ended, never pruned.</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thick" w:color="2E75B6" w:sz="12"/>
              <w:bottom w:val="single" w:color="2E75B6" w:sz="6"/>
              <w:right w:val="none" w:color="FFFFFF" w:sz="0"/>
            </w:tcBorders>
            <w:shd w:fill="D6E4F0" w:val="clear"/>
            <w:tcMar>
              <w:top w:type="dxa" w:w="120"/>
              <w:left w:type="dxa" w:w="200"/>
              <w:bottom w:type="dxa" w:w="120"/>
              <w:right w:type="dxa" w:w="200"/>
            </w:tcMar>
          </w:tcPr>
          <w:p>
            <w:pPr>
              <w:spacing w:after="80"/>
            </w:pPr>
            <w:r>
              <w:rPr>
                <w:rFonts w:ascii="Arial" w:cs="Arial" w:eastAsia="Arial" w:hAnsi="Arial"/>
                <w:b/>
                <w:bCs/>
                <w:color w:val="1F4E79"/>
                <w:sz w:val="22"/>
                <w:szCs w:val="22"/>
              </w:rPr>
              <w:t xml:space="preserve">The Architecture Mirrors the Theory</w:t>
            </w:r>
          </w:p>
          <w:p>
            <w:r>
              <w:rPr>
                <w:rFonts w:ascii="Arial" w:cs="Arial" w:eastAsia="Arial" w:hAnsi="Arial"/>
                <w:i/>
                <w:iCs/>
                <w:color w:val="1A1A1A"/>
                <w:sz w:val="21"/>
                <w:szCs w:val="21"/>
              </w:rPr>
              <w:t xml:space="preserve">The three-layer structure is structurally identical to the Three Constant Presents being designed in the Geometric Memory Engine: Layer 1 (Fixed Past) = always co-present ground truth. Layer 2 (Eternal Now) = all sessions equally accessible. Layer 3 (Becoming Future) = living archive, still growing. This is the same design principle operating at two different scales — the collaboration system and the computing architecture it is producing describe each other.</w:t>
            </w:r>
          </w:p>
        </w:tc>
      </w:tr>
    </w:tbl>
    <w:p>
      <w:pPr>
        <w:spacing w:before="160" w:after="0"/>
      </w:pPr>
      <w:r>
        <w:t xml:space="preserve"/>
      </w:r>
    </w:p>
    <w:p>
      <w:pPr>
        <w:pStyle w:val="Heading1"/>
        <w:spacing w:before="320" w:after="160"/>
      </w:pPr>
      <w:r>
        <w:rPr>
          <w:rFonts w:ascii="Arial" w:cs="Arial" w:eastAsia="Arial" w:hAnsi="Arial"/>
          <w:b/>
          <w:bCs/>
          <w:color w:val="1F4E79"/>
          <w:sz w:val="32"/>
          <w:szCs w:val="32"/>
        </w:rPr>
        <w:t xml:space="preserve">3. The Pascal Pyramid Protocol</w:t>
      </w:r>
    </w:p>
    <w:p>
      <w:pPr>
        <w:spacing w:before="80" w:after="100"/>
      </w:pPr>
      <w:r>
        <w:rPr>
          <w:rFonts w:ascii="Arial" w:cs="Arial" w:eastAsia="Arial" w:hAnsi="Arial"/>
          <w:color w:val="1A1A1A"/>
          <w:sz w:val="22"/>
          <w:szCs w:val="22"/>
        </w:rPr>
        <w:t xml:space="preserve">The Pascal Pyramid Protocol is a geometric coordinate system for organizing and cross-referencing project documents. Each document or concept is assigned a "pyramid address" (e.g., MS.4.A.2) that encodes three things simultaneously: its position in the folder hierarchy, its relationship to sibling documents, and its inheritance from parent concepts.</w:t>
      </w:r>
    </w:p>
    <w:p>
      <w:pPr>
        <w:spacing w:before="80" w:after="0"/>
      </w:pPr>
      <w:r>
        <w:t xml:space="preserve"/>
      </w:r>
    </w:p>
    <w:p>
      <w:pPr>
        <w:spacing w:before="80" w:after="100"/>
      </w:pPr>
      <w:r>
        <w:rPr>
          <w:rFonts w:ascii="Arial" w:cs="Arial" w:eastAsia="Arial" w:hAnsi="Arial"/>
          <w:color w:val="1A1A1A"/>
          <w:sz w:val="22"/>
          <w:szCs w:val="22"/>
        </w:rPr>
        <w:t xml:space="preserve">The protocol takes its name from Pascal's Triangle — a structure where each position is the sum of what came before it, and where the same deep pattern recurs across rows at every scale. The protocol applies this principle to document organization: each address inherits the context of its parents, and cross-referencing becomes a matter of citing an address rather than re-explaining a topic.</w:t>
      </w:r>
    </w:p>
    <w:p>
      <w:pPr>
        <w:spacing w:before="80" w:after="0"/>
      </w:pPr>
      <w:r>
        <w:t xml:space="preserve"/>
      </w:r>
    </w:p>
    <w:p>
      <w:pPr>
        <w:spacing w:before="80" w:after="100"/>
      </w:pPr>
      <w:r>
        <w:rPr>
          <w:rFonts w:ascii="Arial" w:cs="Arial" w:eastAsia="Arial" w:hAnsi="Arial"/>
          <w:b/>
          <w:bCs/>
          <w:color w:val="1A1A1A"/>
          <w:sz w:val="22"/>
          <w:szCs w:val="22"/>
        </w:rPr>
        <w:t xml:space="preserve">Key rule: </w:t>
      </w:r>
      <w:r>
        <w:rPr>
          <w:rFonts w:ascii="Arial" w:cs="Arial" w:eastAsia="Arial" w:hAnsi="Arial"/>
          <w:color w:val="1A1A1A"/>
          <w:sz w:val="22"/>
          <w:szCs w:val="22"/>
        </w:rPr>
        <w:t xml:space="preserve">When a position accumulates three or more documents, it triggers a sub-pyramid expansion — spawning child addresses. This is the "expansion event" tracked in the performance log.</w:t>
      </w:r>
    </w:p>
    <w:p>
      <w:pPr>
        <w:spacing w:before="80" w:after="0"/>
      </w:pPr>
      <w:r>
        <w:t xml:space="preserve"/>
      </w:r>
    </w:p>
    <w:p>
      <w:pPr>
        <w:spacing w:before="80" w:after="100"/>
      </w:pPr>
      <w:r>
        <w:rPr>
          <w:rFonts w:ascii="Arial" w:cs="Arial" w:eastAsia="Arial" w:hAnsi="Arial"/>
          <w:b/>
          <w:bCs/>
          <w:color w:val="1A1A1A"/>
          <w:sz w:val="22"/>
          <w:szCs w:val="22"/>
        </w:rPr>
        <w:t xml:space="preserve">Current status: </w:t>
      </w:r>
      <w:r>
        <w:rPr>
          <w:rFonts w:ascii="Arial" w:cs="Arial" w:eastAsia="Arial" w:hAnsi="Arial"/>
          <w:color w:val="1A1A1A"/>
          <w:sz w:val="22"/>
          <w:szCs w:val="22"/>
        </w:rPr>
        <w:t xml:space="preserve">Protocol introduced in Session 003 (test phase). All three validation signals confirmed by Session 006. Protocol is validated.</w:t>
      </w:r>
    </w:p>
    <w:p>
      <w:pPr>
        <w:spacing w:before="160" w:after="0"/>
      </w:pPr>
      <w:r>
        <w:t xml:space="preserve"/>
      </w:r>
    </w:p>
    <w:p>
      <w:pPr>
        <w:pStyle w:val="Heading1"/>
        <w:spacing w:before="320" w:after="160"/>
      </w:pPr>
      <w:r>
        <w:rPr>
          <w:rFonts w:ascii="Arial" w:cs="Arial" w:eastAsia="Arial" w:hAnsi="Arial"/>
          <w:b/>
          <w:bCs/>
          <w:color w:val="1F4E79"/>
          <w:sz w:val="32"/>
          <w:szCs w:val="32"/>
        </w:rPr>
        <w:t xml:space="preserve">4. Seven-Session Performance Data</w:t>
      </w:r>
    </w:p>
    <w:p>
      <w:pPr>
        <w:spacing w:before="80" w:after="100"/>
      </w:pPr>
      <w:r>
        <w:rPr>
          <w:rFonts w:ascii="Arial" w:cs="Arial" w:eastAsia="Arial" w:hAnsi="Arial"/>
          <w:color w:val="1A1A1A"/>
          <w:sz w:val="22"/>
          <w:szCs w:val="22"/>
        </w:rPr>
        <w:t xml:space="preserve">The following data was recorded at the close of each session. Sessions 001–002 are the pre-protocol baseline. Session 003 is the transition session (protocol introduced). Sessions 004–007 are protocol-active sessions.</w:t>
      </w:r>
    </w:p>
    <w:p>
      <w:pPr>
        <w:spacing w:before="120" w:after="0"/>
      </w:pPr>
      <w:r>
        <w:t xml:space="preserve"/>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200"/>
        <w:gridCol w:w="1200"/>
        <w:gridCol w:w="1200"/>
        <w:gridCol w:w="1200"/>
        <w:gridCol w:w="960"/>
      </w:tblGrid>
      <w:tr>
        <w:trPr>
          <w:tblHeader/>
        </w:trPr>
        <w:tc>
          <w:tcPr>
            <w:tcW w:type="auto" w:w="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left"/>
            </w:pPr>
            <w:r>
              <w:rPr>
                <w:rFonts w:ascii="Arial" w:cs="Arial" w:eastAsia="Arial" w:hAnsi="Arial"/>
                <w:b/>
                <w:bCs/>
                <w:color w:val="FFFFFF"/>
                <w:sz w:val="18"/>
                <w:szCs w:val="18"/>
              </w:rPr>
              <w:t xml:space="preserve">Metric</w:t>
            </w:r>
          </w:p>
        </w:tc>
        <w:tc>
          <w:tcPr>
            <w:tcW w:type="auto" w:w="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left"/>
            </w:pPr>
            <w:r>
              <w:rPr>
                <w:rFonts w:ascii="Arial" w:cs="Arial" w:eastAsia="Arial" w:hAnsi="Arial"/>
                <w:b/>
                <w:bCs/>
                <w:color w:val="FFFFFF"/>
                <w:sz w:val="18"/>
                <w:szCs w:val="18"/>
              </w:rPr>
              <w:t xml:space="preserve">S001</w:t>
            </w:r>
          </w:p>
        </w:tc>
        <w:tc>
          <w:tcPr>
            <w:tcW w:type="auto" w:w="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left"/>
            </w:pPr>
            <w:r>
              <w:rPr>
                <w:rFonts w:ascii="Arial" w:cs="Arial" w:eastAsia="Arial" w:hAnsi="Arial"/>
                <w:b/>
                <w:bCs/>
                <w:color w:val="FFFFFF"/>
                <w:sz w:val="18"/>
                <w:szCs w:val="18"/>
              </w:rPr>
              <w:t xml:space="preserve">S002</w:t>
            </w:r>
          </w:p>
        </w:tc>
        <w:tc>
          <w:tcPr>
            <w:tcW w:type="auto" w:w="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left"/>
            </w:pPr>
            <w:r>
              <w:rPr>
                <w:rFonts w:ascii="Arial" w:cs="Arial" w:eastAsia="Arial" w:hAnsi="Arial"/>
                <w:b/>
                <w:bCs/>
                <w:color w:val="FFFFFF"/>
                <w:sz w:val="18"/>
                <w:szCs w:val="18"/>
              </w:rPr>
              <w:t xml:space="preserve">S003</w:t>
            </w:r>
          </w:p>
        </w:tc>
        <w:tc>
          <w:tcPr>
            <w:tcW w:type="auto" w:w="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left"/>
            </w:pPr>
            <w:r>
              <w:rPr>
                <w:rFonts w:ascii="Arial" w:cs="Arial" w:eastAsia="Arial" w:hAnsi="Arial"/>
                <w:b/>
                <w:bCs/>
                <w:color w:val="FFFFFF"/>
                <w:sz w:val="18"/>
                <w:szCs w:val="18"/>
              </w:rPr>
              <w:t xml:space="preserve">S004</w:t>
            </w:r>
          </w:p>
        </w:tc>
        <w:tc>
          <w:tcPr>
            <w:tcW w:type="auto" w:w="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left"/>
            </w:pPr>
            <w:r>
              <w:rPr>
                <w:rFonts w:ascii="Arial" w:cs="Arial" w:eastAsia="Arial" w:hAnsi="Arial"/>
                <w:b/>
                <w:bCs/>
                <w:color w:val="FFFFFF"/>
                <w:sz w:val="18"/>
                <w:szCs w:val="18"/>
              </w:rPr>
              <w:t xml:space="preserve">S005</w:t>
            </w:r>
          </w:p>
        </w:tc>
        <w:tc>
          <w:tcPr>
            <w:tcW w:type="auto" w:w="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vAlign w:val="center"/>
          </w:tcPr>
          <w:p>
            <w:pPr>
              <w:jc w:val="left"/>
            </w:pPr>
            <w:r>
              <w:rPr>
                <w:rFonts w:ascii="Arial" w:cs="Arial" w:eastAsia="Arial" w:hAnsi="Arial"/>
                <w:b/>
                <w:bCs/>
                <w:color w:val="FFFFFF"/>
                <w:sz w:val="18"/>
                <w:szCs w:val="18"/>
              </w:rPr>
              <w:t xml:space="preserve">S006</w:t>
            </w:r>
          </w:p>
        </w:tc>
      </w:tr>
      <w:tr>
        <w:tc>
          <w:tcPr>
            <w:tcW w:type="auto" w:w="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vAlign w:val="center"/>
          </w:tcPr>
          <w:p>
            <w:pPr>
              <w:jc w:val="left"/>
            </w:pPr>
            <w:r>
              <w:rPr>
                <w:rFonts w:ascii="Arial" w:cs="Arial" w:eastAsia="Arial" w:hAnsi="Arial"/>
                <w:b/>
                <w:bCs/>
                <w:color w:val="1A1A1A"/>
                <w:sz w:val="19"/>
                <w:szCs w:val="19"/>
              </w:rPr>
              <w:t xml:space="preserve">Orientation Files Read</w:t>
            </w:r>
          </w:p>
        </w:tc>
        <w:tc>
          <w:tcPr>
            <w:tcW w:type="auto" w:w="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1</w:t>
            </w:r>
          </w:p>
        </w:tc>
        <w:tc>
          <w:tcPr>
            <w:tcW w:type="auto" w:w="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2</w:t>
            </w:r>
          </w:p>
        </w:tc>
        <w:tc>
          <w:tcPr>
            <w:tcW w:type="auto" w:w="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2</w:t>
            </w:r>
          </w:p>
        </w:tc>
        <w:tc>
          <w:tcPr>
            <w:tcW w:type="auto" w:w="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1</w:t>
            </w:r>
          </w:p>
        </w:tc>
        <w:tc>
          <w:tcPr>
            <w:tcW w:type="auto" w:w="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1</w:t>
            </w:r>
          </w:p>
        </w:tc>
        <w:tc>
          <w:tcPr>
            <w:tcW w:type="auto" w:w="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0</w:t>
            </w:r>
          </w:p>
        </w:tc>
      </w:tr>
      <w:tr>
        <w:tc>
          <w:tcPr>
            <w:tcW w:type="auto" w:w="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bCs/>
                <w:color w:val="1A1A1A"/>
                <w:sz w:val="19"/>
                <w:szCs w:val="19"/>
              </w:rPr>
              <w:t xml:space="preserve">Context Pressure</w:t>
            </w:r>
          </w:p>
        </w:tc>
        <w:tc>
          <w:tcPr>
            <w:tcW w:type="auto" w:w="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High</w:t>
            </w:r>
          </w:p>
        </w:tc>
        <w:tc>
          <w:tcPr>
            <w:tcW w:type="auto" w:w="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High</w:t>
            </w:r>
          </w:p>
        </w:tc>
        <w:tc>
          <w:tcPr>
            <w:tcW w:type="auto" w:w="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High</w:t>
            </w:r>
          </w:p>
        </w:tc>
        <w:tc>
          <w:tcPr>
            <w:tcW w:type="auto" w:w="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Medium</w:t>
            </w:r>
          </w:p>
        </w:tc>
        <w:tc>
          <w:tcPr>
            <w:tcW w:type="auto" w:w="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High</w:t>
            </w:r>
          </w:p>
        </w:tc>
        <w:tc>
          <w:tcPr>
            <w:tcW w:type="auto" w:w="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Medium</w:t>
            </w:r>
          </w:p>
        </w:tc>
      </w:tr>
      <w:tr>
        <w:tc>
          <w:tcPr>
            <w:tcW w:type="auto" w:w="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vAlign w:val="center"/>
          </w:tcPr>
          <w:p>
            <w:pPr>
              <w:jc w:val="left"/>
            </w:pPr>
            <w:r>
              <w:rPr>
                <w:rFonts w:ascii="Arial" w:cs="Arial" w:eastAsia="Arial" w:hAnsi="Arial"/>
                <w:b/>
                <w:bCs/>
                <w:color w:val="1A1A1A"/>
                <w:sz w:val="19"/>
                <w:szCs w:val="19"/>
              </w:rPr>
              <w:t xml:space="preserve">Session Restarted</w:t>
            </w:r>
          </w:p>
        </w:tc>
        <w:tc>
          <w:tcPr>
            <w:tcW w:type="auto" w:w="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w:t>
            </w:r>
          </w:p>
        </w:tc>
        <w:tc>
          <w:tcPr>
            <w:tcW w:type="auto" w:w="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w:t>
            </w:r>
          </w:p>
        </w:tc>
        <w:tc>
          <w:tcPr>
            <w:tcW w:type="auto" w:w="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Yes</w:t>
            </w:r>
          </w:p>
        </w:tc>
        <w:tc>
          <w:tcPr>
            <w:tcW w:type="auto" w:w="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No</w:t>
            </w:r>
          </w:p>
        </w:tc>
        <w:tc>
          <w:tcPr>
            <w:tcW w:type="auto" w:w="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Yes</w:t>
            </w:r>
          </w:p>
        </w:tc>
        <w:tc>
          <w:tcPr>
            <w:tcW w:type="auto" w:w="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No</w:t>
            </w:r>
          </w:p>
        </w:tc>
      </w:tr>
      <w:tr>
        <w:tc>
          <w:tcPr>
            <w:tcW w:type="auto" w:w="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bCs/>
                <w:color w:val="1A1A1A"/>
                <w:sz w:val="19"/>
                <w:szCs w:val="19"/>
              </w:rPr>
              <w:t xml:space="preserve">Pascal Addresses Active</w:t>
            </w:r>
          </w:p>
        </w:tc>
        <w:tc>
          <w:tcPr>
            <w:tcW w:type="auto" w:w="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0</w:t>
            </w:r>
          </w:p>
        </w:tc>
        <w:tc>
          <w:tcPr>
            <w:tcW w:type="auto" w:w="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0</w:t>
            </w:r>
          </w:p>
        </w:tc>
        <w:tc>
          <w:tcPr>
            <w:tcW w:type="auto" w:w="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7</w:t>
            </w:r>
          </w:p>
        </w:tc>
        <w:tc>
          <w:tcPr>
            <w:tcW w:type="auto" w:w="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8</w:t>
            </w:r>
          </w:p>
        </w:tc>
        <w:tc>
          <w:tcPr>
            <w:tcW w:type="auto" w:w="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14</w:t>
            </w:r>
          </w:p>
        </w:tc>
        <w:tc>
          <w:tcPr>
            <w:tcW w:type="auto" w:w="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22</w:t>
            </w:r>
          </w:p>
        </w:tc>
      </w:tr>
      <w:tr>
        <w:tc>
          <w:tcPr>
            <w:tcW w:type="auto" w:w="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vAlign w:val="center"/>
          </w:tcPr>
          <w:p>
            <w:pPr>
              <w:jc w:val="left"/>
            </w:pPr>
            <w:r>
              <w:rPr>
                <w:rFonts w:ascii="Arial" w:cs="Arial" w:eastAsia="Arial" w:hAnsi="Arial"/>
                <w:b/>
                <w:bCs/>
                <w:color w:val="1A1A1A"/>
                <w:sz w:val="19"/>
                <w:szCs w:val="19"/>
              </w:rPr>
              <w:t xml:space="preserve">Pascal Cross-References</w:t>
            </w:r>
          </w:p>
        </w:tc>
        <w:tc>
          <w:tcPr>
            <w:tcW w:type="auto" w:w="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0</w:t>
            </w:r>
          </w:p>
        </w:tc>
        <w:tc>
          <w:tcPr>
            <w:tcW w:type="auto" w:w="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0</w:t>
            </w:r>
          </w:p>
        </w:tc>
        <w:tc>
          <w:tcPr>
            <w:tcW w:type="auto" w:w="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~3</w:t>
            </w:r>
          </w:p>
        </w:tc>
        <w:tc>
          <w:tcPr>
            <w:tcW w:type="auto" w:w="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~5</w:t>
            </w:r>
          </w:p>
        </w:tc>
        <w:tc>
          <w:tcPr>
            <w:tcW w:type="auto" w:w="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~11</w:t>
            </w:r>
          </w:p>
        </w:tc>
        <w:tc>
          <w:tcPr>
            <w:tcW w:type="auto" w:w="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~9</w:t>
            </w:r>
          </w:p>
        </w:tc>
      </w:tr>
      <w:tr>
        <w:tc>
          <w:tcPr>
            <w:tcW w:type="auto" w:w="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bCs/>
                <w:color w:val="1A1A1A"/>
                <w:sz w:val="19"/>
                <w:szCs w:val="19"/>
              </w:rPr>
              <w:t xml:space="preserve">Journal Entries Added</w:t>
            </w:r>
          </w:p>
        </w:tc>
        <w:tc>
          <w:tcPr>
            <w:tcW w:type="auto" w:w="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0</w:t>
            </w:r>
          </w:p>
        </w:tc>
        <w:tc>
          <w:tcPr>
            <w:tcW w:type="auto" w:w="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0</w:t>
            </w:r>
          </w:p>
        </w:tc>
        <w:tc>
          <w:tcPr>
            <w:tcW w:type="auto" w:w="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1</w:t>
            </w:r>
          </w:p>
        </w:tc>
        <w:tc>
          <w:tcPr>
            <w:tcW w:type="auto" w:w="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1</w:t>
            </w:r>
          </w:p>
        </w:tc>
        <w:tc>
          <w:tcPr>
            <w:tcW w:type="auto" w:w="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0</w:t>
            </w:r>
          </w:p>
        </w:tc>
        <w:tc>
          <w:tcPr>
            <w:tcW w:type="auto" w:w="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0</w:t>
            </w:r>
          </w:p>
        </w:tc>
      </w:tr>
      <w:tr>
        <w:tc>
          <w:tcPr>
            <w:tcW w:type="auto" w:w="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vAlign w:val="center"/>
          </w:tcPr>
          <w:p>
            <w:pPr>
              <w:jc w:val="left"/>
            </w:pPr>
            <w:r>
              <w:rPr>
                <w:rFonts w:ascii="Arial" w:cs="Arial" w:eastAsia="Arial" w:hAnsi="Arial"/>
                <w:b/>
                <w:bCs/>
                <w:color w:val="1A1A1A"/>
                <w:sz w:val="19"/>
                <w:szCs w:val="19"/>
              </w:rPr>
              <w:t xml:space="preserve">Errors / Rollbacks</w:t>
            </w:r>
          </w:p>
        </w:tc>
        <w:tc>
          <w:tcPr>
            <w:tcW w:type="auto" w:w="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~2</w:t>
            </w:r>
          </w:p>
        </w:tc>
        <w:tc>
          <w:tcPr>
            <w:tcW w:type="auto" w:w="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~1</w:t>
            </w:r>
          </w:p>
        </w:tc>
        <w:tc>
          <w:tcPr>
            <w:tcW w:type="auto" w:w="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3</w:t>
            </w:r>
          </w:p>
        </w:tc>
        <w:tc>
          <w:tcPr>
            <w:tcW w:type="auto" w:w="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1</w:t>
            </w:r>
          </w:p>
        </w:tc>
        <w:tc>
          <w:tcPr>
            <w:tcW w:type="auto" w:w="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3</w:t>
            </w:r>
          </w:p>
        </w:tc>
        <w:tc>
          <w:tcPr>
            <w:tcW w:type="auto" w:w="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0</w:t>
            </w:r>
          </w:p>
        </w:tc>
      </w:tr>
      <w:tr>
        <w:tc>
          <w:tcPr>
            <w:tcW w:type="auto" w:w="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bCs/>
                <w:color w:val="1A1A1A"/>
                <w:sz w:val="19"/>
                <w:szCs w:val="19"/>
              </w:rPr>
              <w:t xml:space="preserve">Vocabulary Bridge Events</w:t>
            </w:r>
          </w:p>
        </w:tc>
        <w:tc>
          <w:tcPr>
            <w:tcW w:type="auto" w:w="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0</w:t>
            </w:r>
          </w:p>
        </w:tc>
        <w:tc>
          <w:tcPr>
            <w:tcW w:type="auto" w:w="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2</w:t>
            </w:r>
          </w:p>
        </w:tc>
        <w:tc>
          <w:tcPr>
            <w:tcW w:type="auto" w:w="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3</w:t>
            </w:r>
          </w:p>
        </w:tc>
        <w:tc>
          <w:tcPr>
            <w:tcW w:type="auto" w:w="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2</w:t>
            </w:r>
          </w:p>
        </w:tc>
        <w:tc>
          <w:tcPr>
            <w:tcW w:type="auto" w:w="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4</w:t>
            </w:r>
          </w:p>
        </w:tc>
        <w:tc>
          <w:tcPr>
            <w:tcW w:type="auto" w:w="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1</w:t>
            </w:r>
          </w:p>
        </w:tc>
      </w:tr>
    </w:tbl>
    <w:p>
      <w:pPr>
        <w:spacing w:before="160" w:after="0"/>
      </w:pPr>
      <w:r>
        <w:t xml:space="preserve"/>
      </w:r>
    </w:p>
    <w:p>
      <w:pPr>
        <w:pStyle w:val="Heading1"/>
        <w:spacing w:before="320" w:after="160"/>
      </w:pPr>
      <w:r>
        <w:rPr>
          <w:rFonts w:ascii="Arial" w:cs="Arial" w:eastAsia="Arial" w:hAnsi="Arial"/>
          <w:b/>
          <w:bCs/>
          <w:color w:val="1F4E79"/>
          <w:sz w:val="32"/>
          <w:szCs w:val="32"/>
        </w:rPr>
        <w:t xml:space="preserve">5. Key Findings</w:t>
      </w:r>
    </w:p>
    <w:p>
      <w:pPr>
        <w:pStyle w:val="Heading2"/>
        <w:spacing w:before="240" w:after="120"/>
      </w:pPr>
      <w:r>
        <w:rPr>
          <w:rFonts w:ascii="Arial" w:cs="Arial" w:eastAsia="Arial" w:hAnsi="Arial"/>
          <w:b/>
          <w:bCs/>
          <w:color w:val="2E75B6"/>
          <w:sz w:val="26"/>
          <w:szCs w:val="26"/>
        </w:rPr>
        <w:t xml:space="preserve">5.1  Orientation Overhead Reduced to Zero</w:t>
      </w:r>
    </w:p>
    <w:p>
      <w:pPr>
        <w:spacing w:before="80" w:after="100"/>
      </w:pPr>
      <w:r>
        <w:rPr>
          <w:rFonts w:ascii="Arial" w:cs="Arial" w:eastAsia="Arial" w:hAnsi="Arial"/>
          <w:color w:val="1A1A1A"/>
          <w:sz w:val="22"/>
          <w:szCs w:val="22"/>
        </w:rPr>
        <w:t xml:space="preserve">The most striking result is the progression of orientation files required at session start:</w:t>
      </w:r>
    </w:p>
    <w:p>
      <w:pPr>
        <w:spacing w:before="60" w:after="0"/>
      </w:pPr>
      <w:r>
        <w:t xml:space="preserve"/>
      </w:r>
    </w:p>
    <w:p>
      <w:pPr>
        <w:pStyle w:val="ListParagraph"/>
        <w:numPr>
          <w:ilvl w:val="0"/>
          <w:numId w:val="2"/>
        </w:numPr>
        <w:spacing w:before="60" w:after="60"/>
      </w:pPr>
      <w:r>
        <w:rPr>
          <w:rFonts w:ascii="Arial" w:cs="Arial" w:eastAsia="Arial" w:hAnsi="Arial"/>
          <w:color w:val="1A1A1A"/>
          <w:sz w:val="22"/>
          <w:szCs w:val="22"/>
        </w:rPr>
        <w:t xml:space="preserve">Sessions 001–003 (baseline / transition): 1–2 files read before productive work could begin</w:t>
      </w:r>
    </w:p>
    <w:p>
      <w:pPr>
        <w:pStyle w:val="ListParagraph"/>
        <w:numPr>
          <w:ilvl w:val="0"/>
          <w:numId w:val="2"/>
        </w:numPr>
        <w:spacing w:before="60" w:after="60"/>
      </w:pPr>
      <w:r>
        <w:rPr>
          <w:rFonts w:ascii="Arial" w:cs="Arial" w:eastAsia="Arial" w:hAnsi="Arial"/>
          <w:color w:val="1A1A1A"/>
          <w:sz w:val="22"/>
          <w:szCs w:val="22"/>
        </w:rPr>
        <w:t xml:space="preserve">Sessions 004–005 (protocol active): 1 file — down from 2</w:t>
      </w:r>
    </w:p>
    <w:p>
      <w:pPr>
        <w:pStyle w:val="ListParagraph"/>
        <w:numPr>
          <w:ilvl w:val="0"/>
          <w:numId w:val="2"/>
        </w:numPr>
        <w:spacing w:before="60" w:after="60"/>
      </w:pPr>
      <w:r>
        <w:rPr>
          <w:rFonts w:ascii="Arial" w:cs="Arial" w:eastAsia="Arial" w:hAnsi="Arial"/>
          <w:color w:val="1A1A1A"/>
          <w:sz w:val="22"/>
          <w:szCs w:val="22"/>
        </w:rPr>
        <w:t xml:space="preserve">Session 006: 0 files — the system survived context compaction completely and resumed at full fidelity with no warm-up reads at all</w:t>
      </w:r>
    </w:p>
    <w:p>
      <w:pPr>
        <w:spacing w:before="80" w:after="0"/>
      </w:pPr>
      <w:r>
        <w:t xml:space="preserve"/>
      </w:r>
    </w:p>
    <w:p>
      <w:pPr>
        <w:spacing w:before="80" w:after="100"/>
      </w:pPr>
      <w:r>
        <w:rPr>
          <w:rFonts w:ascii="Arial" w:cs="Arial" w:eastAsia="Arial" w:hAnsi="Arial"/>
          <w:color w:val="1A1A1A"/>
          <w:sz w:val="22"/>
          <w:szCs w:val="22"/>
        </w:rPr>
        <w:t xml:space="preserve">Session 006 is particularly significant because it began from a context compaction summary (meaning the AI had no memory of prior context at all) and yet required zero orientation file reads to resume fully. The MASTER_BRIEFING and session log system had enough information density that a compressed summary carried the full context.</w:t>
      </w:r>
    </w:p>
    <w:p>
      <w:pPr>
        <w:spacing w:before="160" w:after="0"/>
      </w:pPr>
      <w:r>
        <w:t xml:space="preserve"/>
      </w:r>
    </w:p>
    <w:p>
      <w:pPr>
        <w:pStyle w:val="Heading2"/>
        <w:spacing w:before="240" w:after="120"/>
      </w:pPr>
      <w:r>
        <w:rPr>
          <w:rFonts w:ascii="Arial" w:cs="Arial" w:eastAsia="Arial" w:hAnsi="Arial"/>
          <w:b/>
          <w:bCs/>
          <w:color w:val="2E75B6"/>
          <w:sz w:val="26"/>
          <w:szCs w:val="26"/>
        </w:rPr>
        <w:t xml:space="preserve">5.2  Pascal Protocol Validated — All Three Signals Confirmed</w:t>
      </w:r>
    </w:p>
    <w:p>
      <w:pPr>
        <w:spacing w:before="80" w:after="100"/>
      </w:pPr>
      <w:r>
        <w:rPr>
          <w:rFonts w:ascii="Arial" w:cs="Arial" w:eastAsia="Arial" w:hAnsi="Arial"/>
          <w:color w:val="1A1A1A"/>
          <w:sz w:val="22"/>
          <w:szCs w:val="22"/>
        </w:rPr>
        <w:t xml:space="preserve">The protocol was considered validated when three specific signals were observed across two or more sessions:</w:t>
      </w:r>
    </w:p>
    <w:p>
      <w:pPr>
        <w:spacing w:before="6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Signal 1: </w:t>
      </w:r>
      <w:r>
        <w:rPr>
          <w:rFonts w:ascii="Arial" w:cs="Arial" w:eastAsia="Arial" w:hAnsi="Arial"/>
          <w:color w:val="1A1A1A"/>
          <w:sz w:val="22"/>
          <w:szCs w:val="22"/>
        </w:rPr>
        <w:t xml:space="preserve">Placement accuracy — new material assigned correct pyramid address without ambiguity</w:t>
      </w:r>
    </w:p>
    <w:p>
      <w:pPr>
        <w:pStyle w:val="ListParagraph"/>
        <w:numPr>
          <w:ilvl w:val="0"/>
          <w:numId w:val="2"/>
        </w:numPr>
        <w:spacing w:before="60" w:after="60"/>
      </w:pPr>
      <w:r>
        <w:rPr>
          <w:rFonts w:ascii="Arial" w:cs="Arial" w:eastAsia="Arial" w:hAnsi="Arial"/>
          <w:b/>
          <w:bCs/>
          <w:color w:val="1A1A1A"/>
          <w:sz w:val="22"/>
          <w:szCs w:val="22"/>
        </w:rPr>
        <w:t xml:space="preserve">Signal 2: </w:t>
      </w:r>
      <w:r>
        <w:rPr>
          <w:rFonts w:ascii="Arial" w:cs="Arial" w:eastAsia="Arial" w:hAnsi="Arial"/>
          <w:color w:val="1A1A1A"/>
          <w:sz w:val="22"/>
          <w:szCs w:val="22"/>
        </w:rPr>
        <w:t xml:space="preserve">Cross-reference speed — an address was used to navigate between topics without prose re-explanation</w:t>
      </w:r>
    </w:p>
    <w:p>
      <w:pPr>
        <w:pStyle w:val="ListParagraph"/>
        <w:numPr>
          <w:ilvl w:val="0"/>
          <w:numId w:val="2"/>
        </w:numPr>
        <w:spacing w:before="60" w:after="60"/>
      </w:pPr>
      <w:r>
        <w:rPr>
          <w:rFonts w:ascii="Arial" w:cs="Arial" w:eastAsia="Arial" w:hAnsi="Arial"/>
          <w:b/>
          <w:bCs/>
          <w:color w:val="1A1A1A"/>
          <w:sz w:val="22"/>
          <w:szCs w:val="22"/>
        </w:rPr>
        <w:t xml:space="preserve">Signal 3: </w:t>
      </w:r>
      <w:r>
        <w:rPr>
          <w:rFonts w:ascii="Arial" w:cs="Arial" w:eastAsia="Arial" w:hAnsi="Arial"/>
          <w:color w:val="1A1A1A"/>
          <w:sz w:val="22"/>
          <w:szCs w:val="22"/>
        </w:rPr>
        <w:t xml:space="preserve">Expansion trigger — a position accumulated 3+ documents and spawned child addresses</w:t>
      </w:r>
    </w:p>
    <w:p>
      <w:pPr>
        <w:spacing w:before="80" w:after="0"/>
      </w:pPr>
      <w:r>
        <w:t xml:space="preserve"/>
      </w:r>
    </w:p>
    <w:p>
      <w:pPr>
        <w:spacing w:before="80" w:after="100"/>
      </w:pPr>
      <w:r>
        <w:rPr>
          <w:rFonts w:ascii="Arial" w:cs="Arial" w:eastAsia="Arial" w:hAnsi="Arial"/>
          <w:color w:val="1A1A1A"/>
          <w:sz w:val="22"/>
          <w:szCs w:val="22"/>
        </w:rPr>
        <w:t xml:space="preserve">All three signals were confirmed between Sessions 004 and 006. Pascal address count grew from 0 (Sessions 001–002) to 22 (Session 006) across four concurrent content streams without a single cross-referencing error. Critically, the growth in address count did not degrade precision — error rate fell to zero in Session 006 as address count was at its highest.</w:t>
      </w:r>
    </w:p>
    <w:p>
      <w:pPr>
        <w:spacing w:before="160" w:after="0"/>
      </w:pPr>
      <w:r>
        <w:t xml:space="preserve"/>
      </w:r>
    </w:p>
    <w:p>
      <w:pPr>
        <w:pStyle w:val="Heading2"/>
        <w:spacing w:before="240" w:after="120"/>
      </w:pPr>
      <w:r>
        <w:rPr>
          <w:rFonts w:ascii="Arial" w:cs="Arial" w:eastAsia="Arial" w:hAnsi="Arial"/>
          <w:b/>
          <w:bCs/>
          <w:color w:val="2E75B6"/>
          <w:sz w:val="26"/>
          <w:szCs w:val="26"/>
        </w:rPr>
        <w:t xml:space="preserve">5.3  Error Rate Trending to Zero</w:t>
      </w:r>
    </w:p>
    <w:p>
      <w:pPr>
        <w:spacing w:before="80" w:after="100"/>
      </w:pPr>
      <w:r>
        <w:rPr>
          <w:rFonts w:ascii="Arial" w:cs="Arial" w:eastAsia="Arial" w:hAnsi="Arial"/>
          <w:color w:val="1A1A1A"/>
          <w:sz w:val="22"/>
          <w:szCs w:val="22"/>
        </w:rPr>
        <w:t xml:space="preserve">Session errors (file misrouting, syntax fixes, content corrections) followed a clear improvement arc:</w:t>
      </w:r>
    </w:p>
    <w:p>
      <w:pPr>
        <w:spacing w:before="60" w:after="0"/>
      </w:pPr>
      <w:r>
        <w:t xml:space="preserve"/>
      </w:r>
    </w:p>
    <w:p>
      <w:pPr>
        <w:pStyle w:val="ListParagraph"/>
        <w:numPr>
          <w:ilvl w:val="0"/>
          <w:numId w:val="2"/>
        </w:numPr>
        <w:spacing w:before="60" w:after="60"/>
      </w:pPr>
      <w:r>
        <w:rPr>
          <w:rFonts w:ascii="Arial" w:cs="Arial" w:eastAsia="Arial" w:hAnsi="Arial"/>
          <w:color w:val="1A1A1A"/>
          <w:sz w:val="22"/>
          <w:szCs w:val="22"/>
        </w:rPr>
        <w:t xml:space="preserve">Sessions 001–002 (baseline): ~2 and ~1 errors respectively</w:t>
      </w:r>
    </w:p>
    <w:p>
      <w:pPr>
        <w:pStyle w:val="ListParagraph"/>
        <w:numPr>
          <w:ilvl w:val="0"/>
          <w:numId w:val="2"/>
        </w:numPr>
        <w:spacing w:before="60" w:after="60"/>
      </w:pPr>
      <w:r>
        <w:rPr>
          <w:rFonts w:ascii="Arial" w:cs="Arial" w:eastAsia="Arial" w:hAnsi="Arial"/>
          <w:color w:val="1A1A1A"/>
          <w:sz w:val="22"/>
          <w:szCs w:val="22"/>
        </w:rPr>
        <w:t xml:space="preserve">Session 003 (transition): 3 errors — highest point, consistent with the complexity of launching a new protocol</w:t>
      </w:r>
    </w:p>
    <w:p>
      <w:pPr>
        <w:pStyle w:val="ListParagraph"/>
        <w:numPr>
          <w:ilvl w:val="0"/>
          <w:numId w:val="2"/>
        </w:numPr>
        <w:spacing w:before="60" w:after="60"/>
      </w:pPr>
      <w:r>
        <w:rPr>
          <w:rFonts w:ascii="Arial" w:cs="Arial" w:eastAsia="Arial" w:hAnsi="Arial"/>
          <w:color w:val="1A1A1A"/>
          <w:sz w:val="22"/>
          <w:szCs w:val="22"/>
        </w:rPr>
        <w:t xml:space="preserve">Session 004: 1 error</w:t>
      </w:r>
    </w:p>
    <w:p>
      <w:pPr>
        <w:pStyle w:val="ListParagraph"/>
        <w:numPr>
          <w:ilvl w:val="0"/>
          <w:numId w:val="2"/>
        </w:numPr>
        <w:spacing w:before="60" w:after="60"/>
      </w:pPr>
      <w:r>
        <w:rPr>
          <w:rFonts w:ascii="Arial" w:cs="Arial" w:eastAsia="Arial" w:hAnsi="Arial"/>
          <w:color w:val="1A1A1A"/>
          <w:sz w:val="22"/>
          <w:szCs w:val="22"/>
        </w:rPr>
        <w:t xml:space="preserve">Session 005: 3 errors — spike due to the largest single-session ingestion (679 paragraphs + six formal proofs)</w:t>
      </w:r>
    </w:p>
    <w:p>
      <w:pPr>
        <w:pStyle w:val="ListParagraph"/>
        <w:numPr>
          <w:ilvl w:val="0"/>
          <w:numId w:val="2"/>
        </w:numPr>
        <w:spacing w:before="60" w:after="60"/>
      </w:pPr>
      <w:r>
        <w:rPr>
          <w:rFonts w:ascii="Arial" w:cs="Arial" w:eastAsia="Arial" w:hAnsi="Arial"/>
          <w:color w:val="1A1A1A"/>
          <w:sz w:val="22"/>
          <w:szCs w:val="22"/>
        </w:rPr>
        <w:t xml:space="preserve">Session 006: 0 errors — first completely clean session</w:t>
      </w:r>
    </w:p>
    <w:p>
      <w:pPr>
        <w:spacing w:before="80" w:after="0"/>
      </w:pPr>
      <w:r>
        <w:t xml:space="preserve"/>
      </w:r>
    </w:p>
    <w:p>
      <w:pPr>
        <w:spacing w:before="80" w:after="100"/>
      </w:pPr>
      <w:r>
        <w:rPr>
          <w:rFonts w:ascii="Arial" w:cs="Arial" w:eastAsia="Arial" w:hAnsi="Arial"/>
          <w:color w:val="1A1A1A"/>
          <w:sz w:val="22"/>
          <w:szCs w:val="22"/>
        </w:rPr>
        <w:t xml:space="preserve">The Session 005 spike is not a regression — it corresponds directly to the most ambitious session in the project. Controlling for session scope, the trend is unambiguous.</w:t>
      </w:r>
    </w:p>
    <w:p>
      <w:pPr>
        <w:spacing w:before="160" w:after="0"/>
      </w:pPr>
      <w:r>
        <w:t xml:space="preserve"/>
      </w:r>
    </w:p>
    <w:p>
      <w:pPr>
        <w:pStyle w:val="Heading2"/>
        <w:spacing w:before="240" w:after="120"/>
      </w:pPr>
      <w:r>
        <w:rPr>
          <w:rFonts w:ascii="Arial" w:cs="Arial" w:eastAsia="Arial" w:hAnsi="Arial"/>
          <w:b/>
          <w:bCs/>
          <w:color w:val="2E75B6"/>
          <w:sz w:val="26"/>
          <w:szCs w:val="26"/>
        </w:rPr>
        <w:t xml:space="preserve">5.4  Precision Improvement: B₄ Hyperoctahedral Terminology Correction</w:t>
      </w:r>
    </w:p>
    <w:p>
      <w:pPr>
        <w:spacing w:before="80" w:after="100"/>
      </w:pPr>
      <w:r>
        <w:rPr>
          <w:rFonts w:ascii="Arial" w:cs="Arial" w:eastAsia="Arial" w:hAnsi="Arial"/>
          <w:color w:val="1A1A1A"/>
          <w:sz w:val="22"/>
          <w:szCs w:val="22"/>
        </w:rPr>
        <w:t xml:space="preserve">Session 006 produced a concrete demonstration of the system's precision improvement over time. A colloquial shorthand term had been used in working notes for a geometric structure relevant to the patent work. During Session 006, the term was identified as having mystical and spiritual connotations that make it unsuitable for patent documentation.</w:t>
      </w:r>
    </w:p>
    <w:p>
      <w:pPr>
        <w:spacing w:before="80" w:after="0"/>
      </w:pPr>
      <w:r>
        <w:t xml:space="preserve"/>
      </w:r>
    </w:p>
    <w:p>
      <w:pPr>
        <w:spacing w:before="80" w:after="100"/>
      </w:pPr>
      <w:r>
        <w:rPr>
          <w:rFonts w:ascii="Arial" w:cs="Arial" w:eastAsia="Arial" w:hAnsi="Arial"/>
          <w:color w:val="1A1A1A"/>
          <w:sz w:val="22"/>
          <w:szCs w:val="22"/>
        </w:rPr>
        <w:t xml:space="preserve">The correct technical replacement — "hyperoctahedral center" — was derived directly from existing patent claim language (the B₄ hyperoctahedral group) already in the system. This meant the correction was not just a word swap; it was a precision upgrade that made the term more defensible, more specific, and more consistent with the surrounding claim structure.</w:t>
      </w:r>
    </w:p>
    <w:p>
      <w:pPr>
        <w:spacing w:before="80" w:after="0"/>
      </w:pPr>
      <w:r>
        <w:t xml:space="preserve"/>
      </w:r>
    </w:p>
    <w:p>
      <w:pPr>
        <w:spacing w:before="80" w:after="100"/>
      </w:pPr>
      <w:r>
        <w:rPr>
          <w:rFonts w:ascii="Arial" w:cs="Arial" w:eastAsia="Arial" w:hAnsi="Arial"/>
          <w:color w:val="1A1A1A"/>
          <w:sz w:val="22"/>
          <w:szCs w:val="22"/>
        </w:rPr>
        <w:t xml:space="preserve">The correction was propagated across four documents in a single pass with no errors. This kind of systematic precision work was not possible in Session 001 when the system was purely prose-based.</w:t>
      </w:r>
    </w:p>
    <w:p>
      <w:pPr>
        <w:spacing w:before="160" w:after="0"/>
      </w:pPr>
      <w:r>
        <w:t xml:space="preserve"/>
      </w:r>
    </w:p>
    <w:p>
      <w:pPr>
        <w:pStyle w:val="Heading1"/>
        <w:spacing w:before="320" w:after="160"/>
      </w:pPr>
      <w:r>
        <w:rPr>
          <w:rFonts w:ascii="Arial" w:cs="Arial" w:eastAsia="Arial" w:hAnsi="Arial"/>
          <w:b/>
          <w:bCs/>
          <w:color w:val="1F4E79"/>
          <w:sz w:val="32"/>
          <w:szCs w:val="32"/>
        </w:rPr>
        <w:t xml:space="preserve">6. Why This Matters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thick" w:color="2E75B6" w:sz="12"/>
              <w:bottom w:val="single" w:color="2E75B6" w:sz="6"/>
              <w:right w:val="none" w:color="FFFFFF" w:sz="0"/>
            </w:tcBorders>
            <w:shd w:fill="D6E4F0" w:val="clear"/>
            <w:tcMar>
              <w:top w:type="dxa" w:w="120"/>
              <w:left w:type="dxa" w:w="200"/>
              <w:bottom w:type="dxa" w:w="120"/>
              <w:right w:type="dxa" w:w="200"/>
            </w:tcMar>
          </w:tcPr>
          <w:p>
            <w:pPr>
              <w:spacing w:after="80"/>
            </w:pPr>
            <w:r>
              <w:rPr>
                <w:rFonts w:ascii="Arial" w:cs="Arial" w:eastAsia="Arial" w:hAnsi="Arial"/>
                <w:b/>
                <w:bCs/>
                <w:color w:val="1F4E79"/>
                <w:sz w:val="22"/>
                <w:szCs w:val="22"/>
              </w:rPr>
              <w:t xml:space="preserve">Core Insight</w:t>
            </w:r>
          </w:p>
          <w:p>
            <w:r>
              <w:rPr>
                <w:rFonts w:ascii="Arial" w:cs="Arial" w:eastAsia="Arial" w:hAnsi="Arial"/>
                <w:i/>
                <w:iCs/>
                <w:color w:val="1A1A1A"/>
                <w:sz w:val="21"/>
                <w:szCs w:val="21"/>
              </w:rPr>
              <w:t xml:space="preserve">The AI does not need to carry memory internally. It needs a well-designed external filing system with precise addressing, layered granularity, and a single authoritative source of truth. The investment in designing that system pays measurable dividends within a small number of sessions.</w:t>
            </w:r>
          </w:p>
        </w:tc>
      </w:tr>
    </w:tbl>
    <w:p>
      <w:pPr>
        <w:spacing w:before="140" w:after="0"/>
      </w:pPr>
      <w:r>
        <w:t xml:space="preserve"/>
      </w:r>
    </w:p>
    <w:p>
      <w:pPr>
        <w:spacing w:before="80" w:after="100"/>
      </w:pPr>
      <w:r>
        <w:rPr>
          <w:rFonts w:ascii="Arial" w:cs="Arial" w:eastAsia="Arial" w:hAnsi="Arial"/>
          <w:color w:val="1A1A1A"/>
          <w:sz w:val="22"/>
          <w:szCs w:val="22"/>
        </w:rPr>
        <w:t xml:space="preserve">This system represents a working prototype of a human-designed external memory architecture for AI assistants. It demonstrates that the "cold start" problem in multi-session AI collaboration is not a fundamental limitation — it is an engineering problem, and it is solvable with current tools.</w:t>
      </w:r>
    </w:p>
    <w:p>
      <w:pPr>
        <w:spacing w:before="80" w:after="0"/>
      </w:pPr>
      <w:r>
        <w:t xml:space="preserve"/>
      </w:r>
    </w:p>
    <w:p>
      <w:pPr>
        <w:spacing w:before="80" w:after="100"/>
      </w:pPr>
      <w:r>
        <w:rPr>
          <w:rFonts w:ascii="Arial" w:cs="Arial" w:eastAsia="Arial" w:hAnsi="Arial"/>
          <w:color w:val="1A1A1A"/>
          <w:sz w:val="22"/>
          <w:szCs w:val="22"/>
        </w:rPr>
        <w:t xml:space="preserve">The key insight is that context window efficiency is not primarily a function of model capability — it is a function of how information is organized before it enters the context window. A well-structured MASTER_BRIEFING file carrying only architectural facts, combined with on-demand session logs for episodic detail, and a coordinate-addressed filing system for cross-referencing, reduces startup overhead from multiple file reads to zero while simultaneously increasing session precision and reducing errors.</w:t>
      </w:r>
    </w:p>
    <w:p>
      <w:pPr>
        <w:spacing w:before="80" w:after="0"/>
      </w:pPr>
      <w:r>
        <w:t xml:space="preserve"/>
      </w:r>
    </w:p>
    <w:p>
      <w:pPr>
        <w:spacing w:before="80" w:after="100"/>
      </w:pPr>
      <w:r>
        <w:rPr>
          <w:rFonts w:ascii="Arial" w:cs="Arial" w:eastAsia="Arial" w:hAnsi="Arial"/>
          <w:color w:val="1A1A1A"/>
          <w:sz w:val="22"/>
          <w:szCs w:val="22"/>
        </w:rPr>
        <w:t xml:space="preserve">This has implications beyond this specific project. Any long-running human-AI collaboration — research, legal, technical, creative — faces the same cold start problem. The three-layer architecture and Pascal Protocol are generalizable solutions.</w:t>
      </w:r>
    </w:p>
    <w:p>
      <w:pPr>
        <w:spacing w:before="160" w:after="0"/>
      </w:pPr>
      <w:r>
        <w:t xml:space="preserve"/>
      </w:r>
    </w:p>
    <w:p>
      <w:pPr>
        <w:pStyle w:val="Heading1"/>
        <w:spacing w:before="320" w:after="160"/>
      </w:pPr>
      <w:r>
        <w:rPr>
          <w:rFonts w:ascii="Arial" w:cs="Arial" w:eastAsia="Arial" w:hAnsi="Arial"/>
          <w:b/>
          <w:bCs/>
          <w:color w:val="1F4E79"/>
          <w:sz w:val="32"/>
          <w:szCs w:val="32"/>
        </w:rPr>
        <w:t xml:space="preserve">7. Recommended Next Steps</w:t>
      </w:r>
    </w:p>
    <w:p>
      <w:pPr>
        <w:pStyle w:val="ListParagraph"/>
        <w:numPr>
          <w:ilvl w:val="0"/>
          <w:numId w:val="2"/>
        </w:numPr>
        <w:spacing w:before="60" w:after="60"/>
      </w:pPr>
      <w:r>
        <w:rPr>
          <w:rFonts w:ascii="Arial" w:cs="Arial" w:eastAsia="Arial" w:hAnsi="Arial"/>
          <w:color w:val="1A1A1A"/>
          <w:sz w:val="22"/>
          <w:szCs w:val="22"/>
        </w:rPr>
        <w:t xml:space="preserve">Share the MASTER_BRIEFING and Pascal Protocol with Jeremiah's Claude Code instance and measure whether orientation efficiency transfers — a cross-instance replication test</w:t>
      </w:r>
    </w:p>
    <w:p>
      <w:pPr>
        <w:pStyle w:val="ListParagraph"/>
        <w:numPr>
          <w:ilvl w:val="0"/>
          <w:numId w:val="2"/>
        </w:numPr>
        <w:spacing w:before="60" w:after="60"/>
      </w:pPr>
      <w:r>
        <w:rPr>
          <w:rFonts w:ascii="Arial" w:cs="Arial" w:eastAsia="Arial" w:hAnsi="Arial"/>
          <w:color w:val="1A1A1A"/>
          <w:sz w:val="22"/>
          <w:szCs w:val="22"/>
        </w:rPr>
        <w:t xml:space="preserve">Extend Pascal Protocol addresses to all major folder apexes in the Workspace (currently active only in Memory Systems)</w:t>
      </w:r>
    </w:p>
    <w:p>
      <w:pPr>
        <w:pStyle w:val="ListParagraph"/>
        <w:numPr>
          <w:ilvl w:val="0"/>
          <w:numId w:val="2"/>
        </w:numPr>
        <w:spacing w:before="60" w:after="60"/>
      </w:pPr>
      <w:r>
        <w:rPr>
          <w:rFonts w:ascii="Arial" w:cs="Arial" w:eastAsia="Arial" w:hAnsi="Arial"/>
          <w:color w:val="1A1A1A"/>
          <w:sz w:val="22"/>
          <w:szCs w:val="22"/>
        </w:rPr>
        <w:t xml:space="preserve">Submit methodology documentation to Anthropic as a proposed best practice for multi-session AI collaboration</w:t>
      </w:r>
    </w:p>
    <w:p>
      <w:pPr>
        <w:pStyle w:val="ListParagraph"/>
        <w:numPr>
          <w:ilvl w:val="0"/>
          <w:numId w:val="2"/>
        </w:numPr>
        <w:spacing w:before="60" w:after="60"/>
      </w:pPr>
      <w:r>
        <w:rPr>
          <w:rFonts w:ascii="Arial" w:cs="Arial" w:eastAsia="Arial" w:hAnsi="Arial"/>
          <w:color w:val="1A1A1A"/>
          <w:sz w:val="22"/>
          <w:szCs w:val="22"/>
        </w:rPr>
        <w:t xml:space="preserve">Continue longitudinal tracking — the system is most valuable as evidence accumulates across 10+ sessions</w:t>
      </w:r>
    </w:p>
    <w:p>
      <w:pPr>
        <w:spacing w:before="160" w:after="0"/>
      </w:pPr>
      <w:r>
        <w:t xml:space="preserve"/>
      </w:r>
    </w:p>
    <w:p>
      <w:pPr>
        <w:pBdr>
          <w:bottom w:val="single" w:color="2E75B6" w:sz="4" w:space="1"/>
        </w:pBdr>
        <w:spacing w:before="160" w:after="160"/>
      </w:pPr>
      <w:r>
        <w:t xml:space="preserve"/>
      </w:r>
    </w:p>
    <w:p>
      <w:pPr>
        <w:spacing w:before="80" w:after="0"/>
      </w:pPr>
      <w:r>
        <w:t xml:space="preserve"/>
      </w:r>
    </w:p>
    <w:p>
      <w:pPr>
        <w:spacing w:before="80" w:after="80"/>
        <w:jc w:val="center"/>
      </w:pPr>
      <w:r>
        <w:rPr>
          <w:rFonts w:ascii="Arial" w:cs="Arial" w:eastAsia="Arial" w:hAnsi="Arial"/>
          <w:i/>
          <w:iCs/>
          <w:color w:val="888888"/>
          <w:sz w:val="19"/>
          <w:szCs w:val="19"/>
        </w:rPr>
        <w:t xml:space="preserve">This document was produced by the Claude + Michael Guarino collaboration system — the same system it describes.</w:t>
      </w:r>
    </w:p>
    <w:p>
      <w:pPr>
        <w:spacing w:before="40" w:after="40"/>
        <w:jc w:val="center"/>
      </w:pPr>
      <w:r>
        <w:rPr>
          <w:rFonts w:ascii="Arial" w:cs="Arial" w:eastAsia="Arial" w:hAnsi="Arial"/>
          <w:color w:val="888888"/>
          <w:sz w:val="19"/>
          <w:szCs w:val="19"/>
        </w:rPr>
        <w:t xml:space="preserve">Geometric Memory Systems  |  Confidential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10080"/>
      </w:tabs>
    </w:pPr>
    <w:r>
      <w:rPr>
        <w:rFonts w:ascii="Arial" w:cs="Arial" w:eastAsia="Arial" w:hAnsi="Arial"/>
        <w:color w:val="888888"/>
        <w:sz w:val="18"/>
        <w:szCs w:val="18"/>
      </w:rPr>
      <w:t xml:space="preserve">CONFIDENTIAL — GMS / Geometric Memory Systems</w:t>
    </w:r>
    <w:r>
      <w:rPr>
        <w:rFonts w:ascii="Arial" w:cs="Arial" w:eastAsia="Arial" w:hAnsi="Arial"/>
        <w:color w:val="888888"/>
        <w:sz w:val="18"/>
        <w:szCs w:val="18"/>
      </w:rPr>
      <w:t xml:space="preserve">	2026-03-13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2026-03-13T22:32:01.951Z</dcterms:created>
  <dcterms:modified xsi:type="dcterms:W3CDTF">2026-03-13T22:32:01.951Z</dcterms:modified>
</cp:coreProperties>
</file>

<file path=docProps/custom.xml><?xml version="1.0" encoding="utf-8"?>
<Properties xmlns="http://schemas.openxmlformats.org/officeDocument/2006/custom-properties" xmlns:vt="http://schemas.openxmlformats.org/officeDocument/2006/docPropsVTypes"/>
</file>