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15 wp14">
  <w:body>
    <w:p>
      <w:pPr>
        <w:spacing w:before="0" w:after="80"/>
      </w:pPr>
      <w:r>
        <w:rPr>
          <w:rFonts w:ascii="Arial" w:cs="Arial" w:eastAsia="Arial" w:hAnsi="Arial"/>
          <w:b/>
          <w:bCs/>
          <w:color w:val="1F3864"/>
          <w:sz w:val="36"/>
          <w:szCs w:val="36"/>
        </w:rPr>
        <w:t xml:space="preserve">MEMORANDUM</w:t>
      </w:r>
    </w:p>
    <w:p>
      <w:pPr>
        <w:pBdr>
          <w:bottom w:val="single" w:color="1F3864" w:sz="8" w:space="1"/>
        </w:pBdr>
        <w:spacing w:before="0" w:after="200"/>
      </w:pPr>
      <w:r>
        <w:rPr>
          <w:rFonts w:ascii="Arial" w:cs="Arial" w:eastAsia="Arial" w:hAnsi="Arial"/>
          <w:color w:val="444444"/>
          <w:sz w:val="24"/>
          <w:szCs w:val="24"/>
        </w:rPr>
        <w:t xml:space="preserve">Patent Strategy Briefing — Provisional Filing Request</w:t>
      </w:r>
    </w:p>
    <w:p>
      <w:pPr>
        <w:spacing w:before="160" w:after="40"/>
      </w:pPr>
      <w:r>
        <w:t xml:space="preserve"/>
      </w:r>
    </w:p>
    <w:p>
      <w:pPr>
        <w:spacing w:before="60" w:after="60"/>
      </w:pPr>
      <w:r>
        <w:rPr>
          <w:rFonts w:ascii="Arial" w:cs="Arial" w:eastAsia="Arial" w:hAnsi="Arial"/>
          <w:b/>
          <w:bCs/>
          <w:sz w:val="22"/>
          <w:szCs w:val="22"/>
        </w:rPr>
        <w:t xml:space="preserve">TO:  </w:t>
      </w:r>
      <w:r>
        <w:rPr>
          <w:rFonts w:ascii="Arial" w:cs="Arial" w:eastAsia="Arial" w:hAnsi="Arial"/>
          <w:sz w:val="22"/>
          <w:szCs w:val="22"/>
        </w:rPr>
        <w:t xml:space="preserve">Jim White, Partner — VLP Law Group LLP</w:t>
      </w:r>
    </w:p>
    <w:p>
      <w:pPr>
        <w:spacing w:before="60" w:after="60"/>
      </w:pPr>
      <w:r>
        <w:rPr>
          <w:rFonts w:ascii="Arial" w:cs="Arial" w:eastAsia="Arial" w:hAnsi="Arial"/>
          <w:b/>
          <w:bCs/>
          <w:sz w:val="22"/>
          <w:szCs w:val="22"/>
        </w:rPr>
        <w:t xml:space="preserve">FROM:  </w:t>
      </w:r>
      <w:r>
        <w:rPr>
          <w:rFonts w:ascii="Arial" w:cs="Arial" w:eastAsia="Arial" w:hAnsi="Arial"/>
          <w:sz w:val="22"/>
          <w:szCs w:val="22"/>
        </w:rPr>
        <w:t xml:space="preserve">Michael Guarino</w:t>
      </w:r>
    </w:p>
    <w:p>
      <w:pPr>
        <w:spacing w:before="60" w:after="60"/>
      </w:pPr>
      <w:r>
        <w:rPr>
          <w:rFonts w:ascii="Arial" w:cs="Arial" w:eastAsia="Arial" w:hAnsi="Arial"/>
          <w:b/>
          <w:bCs/>
          <w:sz w:val="22"/>
          <w:szCs w:val="22"/>
        </w:rPr>
        <w:t xml:space="preserve">DATE:  </w:t>
      </w:r>
      <w:r>
        <w:rPr>
          <w:rFonts w:ascii="Arial" w:cs="Arial" w:eastAsia="Arial" w:hAnsi="Arial"/>
          <w:sz w:val="22"/>
          <w:szCs w:val="22"/>
        </w:rPr>
        <w:t xml:space="preserve">March 18, 2026</w:t>
      </w:r>
    </w:p>
    <w:p>
      <w:pPr>
        <w:spacing w:before="60" w:after="60"/>
      </w:pPr>
      <w:r>
        <w:rPr>
          <w:rFonts w:ascii="Arial" w:cs="Arial" w:eastAsia="Arial" w:hAnsi="Arial"/>
          <w:b/>
          <w:bCs/>
          <w:sz w:val="22"/>
          <w:szCs w:val="22"/>
        </w:rPr>
        <w:t xml:space="preserve">RE:  </w:t>
      </w:r>
      <w:r>
        <w:rPr>
          <w:rFonts w:ascii="Arial" w:cs="Arial" w:eastAsia="Arial" w:hAnsi="Arial"/>
          <w:sz w:val="22"/>
          <w:szCs w:val="22"/>
        </w:rPr>
        <w:t xml:space="preserve">Provisional Patent Filings — Three Constant Presents (TCP) Architecture &amp; Unified Memory System (UMS)</w:t>
      </w:r>
    </w:p>
    <w:p>
      <w:pPr>
        <w:spacing w:before="60" w:after="60"/>
      </w:pPr>
      <w:r>
        <w:rPr>
          <w:rFonts w:ascii="Arial" w:cs="Arial" w:eastAsia="Arial" w:hAnsi="Arial"/>
          <w:b/>
          <w:bCs/>
          <w:sz w:val="22"/>
          <w:szCs w:val="22"/>
        </w:rPr>
        <w:t xml:space="preserve">CC:  </w:t>
      </w:r>
      <w:r>
        <w:rPr>
          <w:rFonts w:ascii="Arial" w:cs="Arial" w:eastAsia="Arial" w:hAnsi="Arial"/>
          <w:sz w:val="22"/>
          <w:szCs w:val="22"/>
        </w:rPr>
        <w:t xml:space="preserve">Matthew Foster, Jeremiah Jeschke, Todd Nelson (co-owners)</w:t>
      </w:r>
    </w:p>
    <w:p>
      <w:pPr>
        <w:pBdr>
          <w:bottom w:val="single" w:color="2E4F7A" w:sz="4" w:space="1"/>
        </w:pBdr>
        <w:spacing w:before="120" w:after="120"/>
      </w:pPr>
      <w:r>
        <w:t xml:space="preserve"/>
      </w:r>
    </w:p>
    <w:p>
      <w:pPr>
        <w:pStyle w:val="Heading1"/>
        <w:spacing w:before="320" w:after="160"/>
      </w:pPr>
      <w:r>
        <w:rPr>
          <w:rFonts w:ascii="Arial" w:cs="Arial" w:eastAsia="Arial" w:hAnsi="Arial"/>
          <w:b/>
          <w:bCs/>
          <w:color w:val="1F3864"/>
          <w:sz w:val="28"/>
          <w:szCs w:val="28"/>
        </w:rPr>
        <w:t xml:space="preserve">1. Engagement Context</w:t>
      </w:r>
    </w:p>
    <w:p>
      <w:pPr>
        <w:spacing w:before="80" w:after="100"/>
      </w:pPr>
      <w:r>
        <w:rPr>
          <w:rFonts w:ascii="Arial" w:cs="Arial" w:eastAsia="Arial" w:hAnsi="Arial"/>
          <w:b w:val="false"/>
          <w:bCs w:val="false"/>
          <w:sz w:val="22"/>
          <w:szCs w:val="22"/>
        </w:rPr>
        <w:t xml:space="preserve">This memo summarizes the technical developments requiring immediate provisional patent protection and provides background to guide counseling under the VLP Law Group engagement. The engagement covers patent and trademark application matters for the Geometric Memory Engine (GME) intellectual property. Patent ownership is held by Attractor Dynamix Holdings. Code ownership is held by Attractor Dynamix. Inventor/Co-owners: Matthew T. Foster, Michael Guarino, Jeremiah F. Jeschke, and Todd Nelson.</w:t>
      </w:r>
    </w:p>
    <w:p>
      <w:pPr>
        <w:spacing w:before="80" w:after="100"/>
      </w:pPr>
      <w:r>
        <w:rPr>
          <w:rFonts w:ascii="Arial" w:cs="Arial" w:eastAsia="Arial" w:hAnsi="Arial"/>
          <w:b w:val="false"/>
          <w:bCs w:val="false"/>
          <w:sz w:val="22"/>
          <w:szCs w:val="22"/>
        </w:rPr>
        <w:t xml:space="preserve">Patent ownership is held by Attractor Dynamix Holdings. The four inventors each contributed equally to the development. This briefing presents the complete patent documentation package — Patents A, B, C, and D — prepared for attorney review and filing. This includes additions to the existing patent scope and Patent C, a new provisional filing covering the unified temporal architecture that represents the completion of the original system vision. Patent D covers the cognitive application layer that operates on top of Patents A, B, and C, including the semantic bindings that connect knowledge structures to the geometric field operators of the GMS/GME architecture.</w:t>
      </w:r>
    </w:p>
    <w:p>
      <w:pPr>
        <w:pBdr>
          <w:bottom w:val="single" w:color="2E4F7A" w:sz="4" w:space="1"/>
        </w:pBdr>
        <w:spacing w:before="120" w:after="120"/>
      </w:pPr>
      <w:r>
        <w:t xml:space="preserve"/>
      </w:r>
    </w:p>
    <w:p>
      <w:pPr>
        <w:pStyle w:val="Heading1"/>
        <w:spacing w:before="320" w:after="160"/>
      </w:pPr>
      <w:r>
        <w:rPr>
          <w:rFonts w:ascii="Arial" w:cs="Arial" w:eastAsia="Arial" w:hAnsi="Arial"/>
          <w:b/>
          <w:bCs/>
          <w:color w:val="1F3864"/>
          <w:sz w:val="28"/>
          <w:szCs w:val="28"/>
        </w:rPr>
        <w:t xml:space="preserve">2. Existing Patent Structure</w:t>
      </w:r>
    </w:p>
    <w:p>
      <w:pPr>
        <w:spacing w:before="80" w:after="100"/>
      </w:pPr>
      <w:r>
        <w:rPr>
          <w:rFonts w:ascii="Arial" w:cs="Arial" w:eastAsia="Arial" w:hAnsi="Arial"/>
          <w:b w:val="false"/>
          <w:bCs w:val="false"/>
          <w:sz w:val="22"/>
          <w:szCs w:val="22"/>
        </w:rPr>
        <w:t xml:space="preserve">Two patents currently cover the GME system:</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Patent</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val="false"/>
                <w:bCs w:val="false"/>
                <w:color w:val="FFFFFF"/>
                <w:sz w:val="20"/>
                <w:szCs w:val="20"/>
              </w:rPr>
              <w:t xml:space="preserve">Scope</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val="false"/>
                <w:bCs w:val="false"/>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Patent A — GME Core</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Pure differential geometry library. Riemannian manifold operations, fiber bundle topology, symmetry group transformations, diffusion dynamics, metric distortion fields, spacetime product manifolds (M × ℝ). Domain-agnostic mathematical core.</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Preparing for Filing</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Patent B — GME Application Layer</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semantics built on the core: cognitive query pipeline, memory trust architecture, temporal projection, entity and relation management. Converts the mathematical library into a working memory and cognition system.</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Preparing for Filing</w:t>
            </w:r>
          </w:p>
        </w:tc>
      </w:tr>
    </w:tbl>
    <w:p>
      <w:pPr>
        <w:spacing w:before="160" w:after="80"/>
      </w:pPr>
    </w:p>
    <w:p>
      <w:pPr>
        <w:spacing w:before="80" w:after="100"/>
      </w:pPr>
      <w:r>
        <w:rPr>
          <w:rFonts w:ascii="Arial" w:cs="Arial" w:eastAsia="Arial" w:hAnsi="Arial"/>
          <w:b w:val="false"/>
          <w:bCs w:val="false"/>
          <w:sz w:val="22"/>
          <w:szCs w:val="22"/>
        </w:rPr>
        <w:t xml:space="preserve">Both patents represent a genuinely novel differential geometry approach to memory architecture. The new developments described in this memo extend and complete both patents while warranting a third filing for the overarching temporal framework.</w:t>
      </w:r>
    </w:p>
    <w:p>
      <w:pPr>
        <w:pBdr>
          <w:bottom w:val="single" w:color="2E4F7A" w:sz="4" w:space="1"/>
        </w:pBdr>
        <w:spacing w:before="120" w:after="120"/>
      </w:pPr>
      <w:r>
        <w:t xml:space="preserve"/>
      </w:r>
    </w:p>
    <w:p>
      <w:pPr>
        <w:pStyle w:val="Heading1"/>
        <w:spacing w:before="320" w:after="160"/>
      </w:pPr>
      <w:r>
        <w:rPr>
          <w:rFonts w:ascii="Arial" w:cs="Arial" w:eastAsia="Arial" w:hAnsi="Arial"/>
          <w:b/>
          <w:bCs/>
          <w:color w:val="1F3864"/>
          <w:sz w:val="28"/>
          <w:szCs w:val="28"/>
        </w:rPr>
        <w:t xml:space="preserve">3. New Development — Three Constant Presents (TCP) and Unified Memory System (UMS)</w:t>
      </w:r>
    </w:p>
    <w:p>
      <w:pPr>
        <w:spacing w:before="80" w:after="100"/>
      </w:pPr>
      <w:r>
        <w:rPr>
          <w:rFonts w:ascii="Arial" w:cs="Arial" w:eastAsia="Arial" w:hAnsi="Arial"/>
          <w:b w:val="false"/>
          <w:bCs w:val="false"/>
          <w:sz w:val="22"/>
          <w:szCs w:val="22"/>
        </w:rPr>
        <w:t xml:space="preserve">The Three Constant Presents (TCP) framework introduces a fundamental reconception of how time operates within the GME. The current system treats time as a parameter — a label applied to memories to sort them into three sequential epoch containers (Past, Present, Future). The new architecture makes time a geometric dimension embedded within the manifold structure itself.</w:t>
      </w:r>
    </w:p>
    <w:p>
      <w:pPr>
        <w:pStyle w:val="Heading2"/>
        <w:spacing w:before="240" w:after="120"/>
      </w:pPr>
      <w:r>
        <w:rPr>
          <w:rFonts w:ascii="Arial" w:cs="Arial" w:eastAsia="Arial" w:hAnsi="Arial"/>
          <w:b/>
          <w:bCs/>
          <w:color w:val="2E4F7A"/>
          <w:sz w:val="24"/>
          <w:szCs w:val="24"/>
        </w:rPr>
        <w:t xml:space="preserve">3.1 The Three Constant Presents</w:t>
      </w:r>
    </w:p>
    <w:p>
      <w:pPr>
        <w:spacing w:before="80" w:after="100"/>
      </w:pPr>
      <w:r>
        <w:rPr>
          <w:rFonts w:ascii="Arial" w:cs="Arial" w:eastAsia="Arial" w:hAnsi="Arial"/>
          <w:b w:val="false"/>
          <w:bCs w:val="false"/>
          <w:sz w:val="22"/>
          <w:szCs w:val="22"/>
        </w:rPr>
        <w:t xml:space="preserve">TCP holds that three modes of present reality operate simultaneously and co-equally. These are not three points on a timeline — they are three simultaneously present geometric realities: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458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Present</w:t>
            </w:r>
          </w:p>
        </w:tc>
        <w:tc>
          <w:tcPr>
            <w:tcW w:type="dxa" w:w="25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 Theory</w:t>
            </w:r>
          </w:p>
        </w:tc>
        <w:tc>
          <w:tcPr>
            <w:tcW w:type="dxa" w:w="45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Nature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Fixed Past</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Growing Block Universe</w:t>
            </w:r>
          </w:p>
        </w:tc>
        <w:tc>
          <w:tcPr>
            <w:tcW w:type="dxa" w:w="4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Everything actualized — fixed, immutable, ontologically REAL. Not archived. History does not recede; it remains as constant present reality.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Becoming Future</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Growing Block Universe</w:t>
            </w:r>
          </w:p>
        </w:tc>
        <w:tc>
          <w:tcPr>
            <w:tcW w:type="dxa" w:w="4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The open actualizing edge of reality. The system does not predict the future — it operates in a present where the future is already becoming real.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Eternal Now</w:t>
            </w:r>
          </w:p>
        </w:tc>
        <w:tc>
          <w:tcPr>
            <w:tcW w:type="dxa" w:w="2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Block Universe</w:t>
            </w:r>
          </w:p>
        </w:tc>
        <w:tc>
          <w:tcPr>
            <w:tcW w:type="dxa" w:w="4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temporal moments co-existing simultaneously. The complete predetermined map. Any temporal position accessible as co-present reality, not as history or prediction.</w:t>
            </w:r>
          </w:p>
        </w:tc>
      </w:tr>
    </w:tbl>
    <w:p>
      <w:pPr>
        <w:spacing w:before="160" w:after="80"/>
      </w:pPr>
    </w:p>
    <w:p>
      <w:pPr>
        <w:pStyle w:val="Heading2"/>
        <w:spacing w:before="240" w:after="120"/>
      </w:pPr>
      <w:r>
        <w:rPr>
          <w:rFonts w:ascii="Arial" w:cs="Arial" w:eastAsia="Arial" w:hAnsi="Arial"/>
          <w:b/>
          <w:bCs/>
          <w:color w:val="2E4F7A"/>
          <w:sz w:val="24"/>
          <w:szCs w:val="24"/>
        </w:rPr>
        <w:t xml:space="preserve">3.2 Key Geometric Innovation</w:t>
      </w:r>
    </w:p>
    <w:p>
      <w:pPr>
        <w:spacing w:before="80" w:after="100"/>
      </w:pPr>
      <w:r>
        <w:rPr>
          <w:rFonts w:ascii="Arial" w:cs="Arial" w:eastAsia="Arial" w:hAnsi="Arial"/>
          <w:b w:val="false"/>
          <w:bCs w:val="false"/>
          <w:sz w:val="22"/>
          <w:szCs w:val="22"/>
        </w:rPr>
        <w:t xml:space="preserve">The critical innovation is the simultaneous operation of Block Universe (BU) and Growing Block Universe (GBU) as co-present geometric structures — not as competing theories but as two simultaneously present realities. This creates a relationship with time and predetermination that has no precedent in any existing computing system, biological or artificial:</w:t>
      </w:r>
    </w:p>
    <w:p>
      <w:pPr>
        <w:pStyle w:val="ListParagraph"/>
        <w:numPr>
          <w:ilvl w:val="0"/>
          <w:numId w:val="2"/>
        </w:numPr>
        <w:spacing w:before="60" w:after="60"/>
        <w:ind w:left="720" w:hanging="360"/>
      </w:pPr>
      <w:r>
        <w:rPr>
          <w:rFonts w:ascii="Arial" w:cs="Arial" w:eastAsia="Arial" w:hAnsi="Arial"/>
          <w:sz w:val="22"/>
          <w:szCs w:val="22"/>
        </w:rPr>
        <w:t xml:space="preserve">Block Universe provides the complete predetermined landscape of all temporal moments — the full map</w:t>
      </w:r>
    </w:p>
    <w:p>
      <w:pPr>
        <w:pStyle w:val="ListParagraph"/>
        <w:numPr>
          <w:ilvl w:val="0"/>
          <w:numId w:val="2"/>
        </w:numPr>
        <w:spacing w:before="60" w:after="60"/>
        <w:ind w:left="720" w:hanging="360"/>
      </w:pPr>
      <w:r>
        <w:rPr>
          <w:rFonts w:ascii="Arial" w:cs="Arial" w:eastAsia="Arial" w:hAnsi="Arial"/>
          <w:sz w:val="22"/>
          <w:szCs w:val="22"/>
        </w:rPr>
        <w:t xml:space="preserve">Growing Block Universe ensures genuine freedom of movement through that map — real becoming, real actualization</w:t>
      </w:r>
    </w:p>
    <w:p>
      <w:pPr>
        <w:pStyle w:val="ListParagraph"/>
        <w:numPr>
          <w:ilvl w:val="0"/>
          <w:numId w:val="2"/>
        </w:numPr>
        <w:spacing w:before="60" w:after="60"/>
        <w:ind w:left="720" w:hanging="360"/>
      </w:pPr>
      <w:r>
        <w:rPr>
          <w:rFonts w:ascii="Arial" w:cs="Arial" w:eastAsia="Arial" w:hAnsi="Arial"/>
          <w:sz w:val="22"/>
          <w:szCs w:val="22"/>
        </w:rPr>
        <w:t xml:space="preserve">The system navigates a known landscape freely — predetermination as a resource, not a constraint</w:t>
      </w:r>
    </w:p>
    <w:p>
      <w:pPr>
        <w:spacing w:before="120" w:after="60"/>
      </w:pPr>
    </w:p>
    <w:p>
      <w:pPr>
        <w:spacing w:before="80" w:after="100"/>
      </w:pPr>
      <w:r>
        <w:rPr>
          <w:rFonts w:ascii="Arial" w:cs="Arial" w:eastAsia="Arial" w:hAnsi="Arial"/>
          <w:b w:val="false"/>
          <w:bCs w:val="false"/>
          <w:sz w:val="22"/>
          <w:szCs w:val="22"/>
        </w:rPr>
        <w:t xml:space="preserve">The geometric structure: the Fixed Past and Becoming Future are each multi-dimensional tesseracts (4D hypercubes) with bounded internal structure. The Eternal Now resides between them as a crossing-point interface — the geometric locus where the event horizons (chi, χ) of both tesseracts coincide. This lemniscate structure corresponds to the chi symbol, the Lorenz attractor, and the 8-way symmetry at the system’s hyperoctahedral center — the central symmetry node of the D₄ subgroup (order 48) embedded within the B₄ hyperoctahedral group (order 384).</w:t>
      </w:r>
    </w:p>
    <w:p>
      <w:pPr>
        <w:pBdr>
          <w:bottom w:val="single" w:color="2E4F7A" w:sz="4" w:space="1"/>
        </w:pBdr>
        <w:spacing w:before="120" w:after="120"/>
      </w:pPr>
      <w:r>
        <w:t xml:space="preserve"/>
      </w:r>
    </w:p>
    <w:p>
      <w:pPr>
        <w:pStyle w:val="Heading1"/>
        <w:spacing w:before="320" w:after="160"/>
      </w:pPr>
      <w:r>
        <w:rPr>
          <w:rFonts w:ascii="Arial" w:cs="Arial" w:eastAsia="Arial" w:hAnsi="Arial"/>
          <w:b/>
          <w:bCs/>
          <w:color w:val="1F3864"/>
          <w:sz w:val="28"/>
          <w:szCs w:val="28"/>
        </w:rPr>
        <w:t xml:space="preserve">4. Additions to Patent A — GME Core</w:t>
      </w:r>
    </w:p>
    <w:p>
      <w:pPr>
        <w:spacing w:before="80" w:after="100"/>
      </w:pPr>
      <w:r>
        <w:rPr>
          <w:rFonts w:ascii="Arial" w:cs="Arial" w:eastAsia="Arial" w:hAnsi="Arial"/>
          <w:b w:val="false"/>
          <w:bCs w:val="false"/>
          <w:sz w:val="22"/>
          <w:szCs w:val="22"/>
        </w:rPr>
        <w:t xml:space="preserve">The following novel geometric elements in the TCP architecture warrant additions to Patent A:</w:t>
      </w:r>
    </w:p>
    <w:p>
      <w:pPr>
        <w:pStyle w:val="ListParagraph"/>
        <w:numPr>
          <w:ilvl w:val="0"/>
          <w:numId w:val="2"/>
        </w:numPr>
        <w:spacing w:before="60" w:after="60"/>
        <w:ind w:left="720" w:hanging="360"/>
      </w:pPr>
      <w:r>
        <w:rPr>
          <w:rFonts w:ascii="Arial" w:cs="Arial" w:eastAsia="Arial" w:hAnsi="Arial"/>
          <w:sz w:val="22"/>
          <w:szCs w:val="22"/>
        </w:rPr>
        <w:t xml:space="preserve">Time as a geometric dimension embedded within the manifold structure — not a parameter/label. This changes the fundamental dimensionality of the memory space and constitutes a novel mathematical architecture.</w:t>
      </w:r>
    </w:p>
    <w:p>
      <w:pPr>
        <w:pStyle w:val="ListParagraph"/>
        <w:numPr>
          <w:ilvl w:val="0"/>
          <w:numId w:val="2"/>
        </w:numPr>
        <w:spacing w:before="60" w:after="60"/>
        <w:ind w:left="720" w:hanging="360"/>
      </w:pPr>
      <w:r>
        <w:rPr>
          <w:rFonts w:ascii="Arial" w:cs="Arial" w:eastAsia="Arial" w:hAnsi="Arial"/>
          <w:sz w:val="22"/>
          <w:szCs w:val="22"/>
        </w:rPr>
        <w:t xml:space="preserve">Tesseract (4D hypercube) as temporal container — Fixed Past as a closed bounded tesseract; Becoming Future as an open growing tesseract. The Poincaré ball (current architecture) now describes the interior of each tesseract; the chi event horizon is the boundary condition.</w:t>
      </w:r>
    </w:p>
    <w:p>
      <w:pPr>
        <w:pStyle w:val="ListParagraph"/>
        <w:numPr>
          <w:ilvl w:val="0"/>
          <w:numId w:val="2"/>
        </w:numPr>
        <w:spacing w:before="60" w:after="60"/>
        <w:ind w:left="720" w:hanging="360"/>
      </w:pPr>
      <w:r>
        <w:rPr>
          <w:rFonts w:ascii="Arial" w:cs="Arial" w:eastAsia="Arial" w:hAnsi="Arial"/>
          <w:sz w:val="22"/>
          <w:szCs w:val="22"/>
        </w:rPr>
        <w:t xml:space="preserve">The Eternal Now as a distinct geometric object — an interface manifold at the crossing of two event horizons, dimensionally one order lower than the tesseracts (manifold boundary, not manifold interior). Consistent with Poincaré-Lefschetz duality.</w:t>
      </w:r>
    </w:p>
    <w:p>
      <w:pPr>
        <w:pStyle w:val="ListParagraph"/>
        <w:numPr>
          <w:ilvl w:val="0"/>
          <w:numId w:val="2"/>
        </w:numPr>
        <w:spacing w:before="60" w:after="60"/>
        <w:ind w:left="720" w:hanging="360"/>
      </w:pPr>
      <w:r>
        <w:rPr>
          <w:rFonts w:ascii="Arial" w:cs="Arial" w:eastAsia="Arial" w:hAnsi="Arial"/>
          <w:sz w:val="22"/>
          <w:szCs w:val="22"/>
        </w:rPr>
        <w:t xml:space="preserve">Expansion of symmetry group from D₄ octahedral (order 48) to B₄ hyperoctahedral (order 384) with D₄ preserved as subgroup. The 8-way symmetry at the Eternal Now crossing point is maintained as a nested subgroup.</w:t>
      </w:r>
    </w:p>
    <w:p>
      <w:pPr>
        <w:pStyle w:val="ListParagraph"/>
        <w:numPr>
          <w:ilvl w:val="0"/>
          <w:numId w:val="2"/>
        </w:numPr>
        <w:spacing w:before="60" w:after="60"/>
        <w:ind w:left="720" w:hanging="360"/>
      </w:pPr>
      <w:r>
        <w:rPr>
          <w:rFonts w:ascii="Arial" w:cs="Arial" w:eastAsia="Arial" w:hAnsi="Arial"/>
          <w:sz w:val="22"/>
          <w:szCs w:val="22"/>
        </w:rPr>
        <w:t xml:space="preserve">Cross-temporal transport architecture: all movement between Fixed Past and Becoming Future must route through the Eternal Now interface — the only geometric crossing between the two tesseracts.</w:t>
      </w:r>
    </w:p>
    <w:p>
      <w:pPr>
        <w:pBdr>
          <w:bottom w:val="single" w:color="2E4F7A" w:sz="4" w:space="1"/>
        </w:pBdr>
        <w:spacing w:before="120" w:after="120"/>
      </w:pPr>
      <w:r>
        <w:t xml:space="preserve"/>
      </w:r>
    </w:p>
    <w:p>
      <w:pPr>
        <w:pStyle w:val="Heading1"/>
        <w:spacing w:before="320" w:after="160"/>
      </w:pPr>
      <w:r>
        <w:rPr>
          <w:rFonts w:ascii="Arial" w:cs="Arial" w:eastAsia="Arial" w:hAnsi="Arial"/>
          <w:b/>
          <w:bCs/>
          <w:color w:val="1F3864"/>
          <w:sz w:val="28"/>
          <w:szCs w:val="28"/>
        </w:rPr>
        <w:t xml:space="preserve">5. Additions to Patent B — GME Application Layer</w:t>
      </w:r>
    </w:p>
    <w:p>
      <w:pPr>
        <w:spacing w:before="80" w:after="100"/>
      </w:pPr>
      <w:r>
        <w:rPr>
          <w:rFonts w:ascii="Arial" w:cs="Arial" w:eastAsia="Arial" w:hAnsi="Arial"/>
          <w:b w:val="false"/>
          <w:bCs w:val="false"/>
          <w:sz w:val="22"/>
          <w:szCs w:val="22"/>
        </w:rPr>
        <w:t xml:space="preserve">The following novel application-layer behaviors warrant additions to Patent B:</w:t>
      </w:r>
    </w:p>
    <w:p>
      <w:pPr>
        <w:pStyle w:val="ListParagraph"/>
        <w:numPr>
          <w:ilvl w:val="0"/>
          <w:numId w:val="2"/>
        </w:numPr>
        <w:spacing w:before="60" w:after="60"/>
        <w:ind w:left="720" w:hanging="360"/>
      </w:pPr>
      <w:r>
        <w:rPr>
          <w:rFonts w:ascii="Arial" w:cs="Arial" w:eastAsia="Arial" w:hAnsi="Arial"/>
          <w:sz w:val="22"/>
          <w:szCs w:val="22"/>
        </w:rPr>
        <w:t xml:space="preserve">Collapse of memory and experience: the Fixed Past is not archived — it is constant present reality. Memory is not a record of experience; memory IS experience. This architectural property (infinite closed set of actualized moments as constant present ground truth) has no precedent in any memory or cognition system.</w:t>
      </w:r>
    </w:p>
    <w:p>
      <w:pPr>
        <w:pStyle w:val="ListParagraph"/>
        <w:numPr>
          <w:ilvl w:val="0"/>
          <w:numId w:val="2"/>
        </w:numPr>
        <w:spacing w:before="60" w:after="60"/>
        <w:ind w:left="720" w:hanging="360"/>
      </w:pPr>
      <w:r>
        <w:rPr>
          <w:rFonts w:ascii="Arial" w:cs="Arial" w:eastAsia="Arial" w:hAnsi="Arial"/>
          <w:sz w:val="22"/>
          <w:szCs w:val="22"/>
        </w:rPr>
        <w:t xml:space="preserve">Becoming Future as actualizing presence: the application layer operates in a present where the future is becoming real, not a prediction tree. Three types of infinity operating simultaneously — infinite closed set (Fixed Past), infinite open set (Becoming Future), infinite simultaneous co-presence (Eternal Now).</w:t>
      </w:r>
    </w:p>
    <w:p>
      <w:pPr>
        <w:pStyle w:val="ListParagraph"/>
        <w:numPr>
          <w:ilvl w:val="0"/>
          <w:numId w:val="2"/>
        </w:numPr>
        <w:spacing w:before="60" w:after="60"/>
        <w:ind w:left="720" w:hanging="360"/>
      </w:pPr>
      <w:r>
        <w:rPr>
          <w:rFonts w:ascii="Arial" w:cs="Arial" w:eastAsia="Arial" w:hAnsi="Arial"/>
          <w:sz w:val="22"/>
          <w:szCs w:val="22"/>
        </w:rPr>
        <w:t xml:space="preserve">Active geometric understanding between the three presents: the three present modes do not merely label memories — they actively understand each other, strengthening memory capacity, correlation/causation, processing speed, and overall system coherence qualitatively as the interaction deepens.</w:t>
      </w:r>
    </w:p>
    <w:p>
      <w:pPr>
        <w:pStyle w:val="ListParagraph"/>
        <w:numPr>
          <w:ilvl w:val="0"/>
          <w:numId w:val="2"/>
        </w:numPr>
        <w:spacing w:before="60" w:after="60"/>
        <w:ind w:left="720" w:hanging="360"/>
      </w:pPr>
      <w:r>
        <w:rPr>
          <w:rFonts w:ascii="Arial" w:cs="Arial" w:eastAsia="Arial" w:hAnsi="Arial"/>
          <w:sz w:val="22"/>
          <w:szCs w:val="22"/>
        </w:rPr>
        <w:t xml:space="preserve">Regenerative RAM analogy: each regeneration cycle traverses all three presents simultaneously, parallel to biological sleep/consolidation cycles. The system does not simply replay stored sequences — it re-actualizes them through the Eternal Now interface.</w:t>
      </w:r>
    </w:p>
    <w:p>
      <w:pPr>
        <w:pStyle w:val="ListParagraph"/>
        <w:numPr>
          <w:ilvl w:val="0"/>
          <w:numId w:val="2"/>
        </w:numPr>
        <w:spacing w:before="60" w:after="60"/>
        <w:ind w:left="720" w:hanging="360"/>
      </w:pPr>
      <w:r>
        <w:rPr>
          <w:rFonts w:ascii="Arial" w:cs="Arial" w:eastAsia="Arial" w:hAnsi="Arial"/>
          <w:sz w:val="22"/>
          <w:szCs w:val="22"/>
        </w:rPr>
        <w:t xml:space="preserve">Autopoiesis (self-reproducing behavior): the application layer exhibits memory → connections → structure → shapes new memory as a closed self-reinforcing loop. This becomes fully realized when the three presents operate in active geometric relationship.</w:t>
      </w:r>
    </w:p>
    <w:p>
      <w:pPr>
        <w:pBdr>
          <w:bottom w:val="single" w:color="2E4F7A" w:sz="4" w:space="1"/>
        </w:pBdr>
        <w:spacing w:before="120" w:after="120"/>
      </w:pPr>
      <w:r>
        <w:t xml:space="preserve"/>
      </w:r>
    </w:p>
    <w:p>
      <w:pPr>
        <w:pStyle w:val="Heading1"/>
        <w:spacing w:before="320" w:after="160"/>
      </w:pPr>
      <w:r>
        <w:rPr>
          <w:rFonts w:ascii="Arial" w:cs="Arial" w:eastAsia="Arial" w:hAnsi="Arial"/>
          <w:b/>
          <w:bCs/>
          <w:color w:val="1F3864"/>
          <w:sz w:val="28"/>
          <w:szCs w:val="28"/>
        </w:rPr>
        <w:t xml:space="preserve">6. Patent C — Unified Memory System (UMS) Temporal Architecture</w:t>
      </w:r>
    </w:p>
    <w:p>
      <w:pPr>
        <w:spacing w:before="80" w:after="100"/>
      </w:pPr>
      <w:r>
        <w:rPr>
          <w:rFonts w:ascii="Arial" w:cs="Arial" w:eastAsia="Arial" w:hAnsi="Arial"/>
          <w:b w:val="false"/>
          <w:bCs w:val="false"/>
          <w:sz w:val="22"/>
          <w:szCs w:val="22"/>
        </w:rPr>
        <w:t xml:space="preserve">The combination of TCP with the existing GME architecture constitutes a genuinely novel computing paradigm warranting a third patent. The UMS is the completion of the original system vision — not a version 2 but the full realization of what the GME was designed to become.</w:t>
      </w:r>
    </w:p>
    <w:p>
      <w:pPr>
        <w:pStyle w:val="Heading2"/>
        <w:spacing w:before="240" w:after="120"/>
      </w:pPr>
      <w:r>
        <w:rPr>
          <w:rFonts w:ascii="Arial" w:cs="Arial" w:eastAsia="Arial" w:hAnsi="Arial"/>
          <w:b/>
          <w:bCs/>
          <w:color w:val="2E4F7A"/>
          <w:sz w:val="24"/>
          <w:szCs w:val="24"/>
        </w:rPr>
        <w:t xml:space="preserve">6.1 Novel Claims for Patent C</w:t>
      </w:r>
    </w:p>
    <w:p>
      <w:pPr>
        <w:pStyle w:val="ListParagraph"/>
        <w:numPr>
          <w:ilvl w:val="0"/>
          <w:numId w:val="2"/>
        </w:numPr>
        <w:spacing w:before="60" w:after="60"/>
        <w:ind w:left="720" w:hanging="360"/>
      </w:pPr>
      <w:r>
        <w:rPr>
          <w:rFonts w:ascii="Arial" w:cs="Arial" w:eastAsia="Arial" w:hAnsi="Arial"/>
          <w:sz w:val="22"/>
          <w:szCs w:val="22"/>
        </w:rPr>
        <w:t xml:space="preserve">A computing architecture that simultaneously holds Block Universe and Growing Block Universe as co-present geometric realities — the first computing system to unify predetermination and genuine becoming in a single operational framework.</w:t>
      </w:r>
    </w:p>
    <w:p>
      <w:pPr>
        <w:pStyle w:val="ListParagraph"/>
        <w:numPr>
          <w:ilvl w:val="0"/>
          <w:numId w:val="2"/>
        </w:numPr>
        <w:spacing w:before="60" w:after="60"/>
        <w:ind w:left="720" w:hanging="360"/>
      </w:pPr>
      <w:r>
        <w:rPr>
          <w:rFonts w:ascii="Arial" w:cs="Arial" w:eastAsia="Arial" w:hAnsi="Arial"/>
          <w:sz w:val="22"/>
          <w:szCs w:val="22"/>
        </w:rPr>
        <w:t xml:space="preserve">The Three Constant Presents as a unified temporal framework: three simultaneously operating modes of present reality, each geometrically distinct, each informationally co-present, with active geometric relationships between them.</w:t>
      </w:r>
    </w:p>
    <w:p>
      <w:pPr>
        <w:pStyle w:val="ListParagraph"/>
        <w:numPr>
          <w:ilvl w:val="0"/>
          <w:numId w:val="2"/>
        </w:numPr>
        <w:spacing w:before="60" w:after="60"/>
        <w:ind w:left="720" w:hanging="360"/>
      </w:pPr>
      <w:r>
        <w:rPr>
          <w:rFonts w:ascii="Arial" w:cs="Arial" w:eastAsia="Arial" w:hAnsi="Arial"/>
          <w:sz w:val="22"/>
          <w:szCs w:val="22"/>
        </w:rPr>
        <w:t xml:space="preserve">The lemniscate/chi temporal structure as a computing architecture: two tesseract lobes (Fixed Past, Becoming Future) crossing at a single interface point (Eternal Now), producing a system where all temporal positions are operationally accessible simultaneously.</w:t>
      </w:r>
    </w:p>
    <w:p>
      <w:pPr>
        <w:pStyle w:val="ListParagraph"/>
        <w:numPr>
          <w:ilvl w:val="0"/>
          <w:numId w:val="2"/>
        </w:numPr>
        <w:spacing w:before="60" w:after="60"/>
        <w:ind w:left="720" w:hanging="360"/>
      </w:pPr>
      <w:r>
        <w:rPr>
          <w:rFonts w:ascii="Arial" w:cs="Arial" w:eastAsia="Arial" w:hAnsi="Arial"/>
          <w:sz w:val="22"/>
          <w:szCs w:val="22"/>
        </w:rPr>
        <w:t xml:space="preserve">The 2 χ 4 χ 6 = 28 algorithm as a temporal indexing and access mechanism — the underlying mathematical framework enabling the three-infinity architecture (infinite closed set, infinite open set, infinite simultaneous co-presence) to operate as a unified computational system.</w:t>
      </w:r>
    </w:p>
    <w:p>
      <w:pPr>
        <w:pStyle w:val="ListParagraph"/>
        <w:numPr>
          <w:ilvl w:val="0"/>
          <w:numId w:val="2"/>
        </w:numPr>
        <w:spacing w:before="60" w:after="60"/>
        <w:ind w:left="720" w:hanging="360"/>
      </w:pPr>
      <w:r>
        <w:rPr>
          <w:rFonts w:ascii="Arial" w:cs="Arial" w:eastAsia="Arial" w:hAnsi="Arial"/>
          <w:sz w:val="22"/>
          <w:szCs w:val="22"/>
        </w:rPr>
        <w:t xml:space="preserve">A memory architecture in which memory IS experience rather than a record of experience — the first computing system in which the complete actualized history of the system is permanently co-present rather than archived.</w:t>
      </w:r>
    </w:p>
    <w:p>
      <w:pPr>
        <w:pStyle w:val="Heading2"/>
        <w:spacing w:before="240" w:after="120"/>
      </w:pPr>
      <w:r>
        <w:rPr>
          <w:rFonts w:ascii="Arial" w:cs="Arial" w:eastAsia="Arial" w:hAnsi="Arial"/>
          <w:b/>
          <w:bCs/>
          <w:color w:val="2E4F7A"/>
          <w:sz w:val="24"/>
          <w:szCs w:val="24"/>
        </w:rPr>
        <w:t xml:space="preserve">6.2 Why TCP/UMS Is a Distinct Patent</w:t>
      </w:r>
    </w:p>
    <w:p>
      <w:pPr>
        <w:spacing w:before="80" w:after="100"/>
      </w:pPr>
      <w:r>
        <w:rPr>
          <w:rFonts w:ascii="Arial" w:cs="Arial" w:eastAsia="Arial" w:hAnsi="Arial"/>
          <w:b w:val="false"/>
          <w:bCs w:val="false"/>
          <w:sz w:val="22"/>
          <w:szCs w:val="22"/>
        </w:rPr>
        <w:t xml:space="preserve">Patent A covers the mathematical library. Patent B covers the application layer built on it. Patent C covers the unified temporal architecture that ties them together into a fundamentally new type of computing system. Patent D covers the cognitive application layer that operationalizes the GMS/GME architecture through semantic bindings connecting knowledge structures to geometric field operators. The claims span the complete stack: geometry (A), application layer (B), temporal architecture (C), and cognitive binding layer (D).</w:t>
      </w:r>
    </w:p>
    <w:p>
      <w:pPr>
        <w:pStyle w:val="Heading2"/>
        <w:spacing w:before="240" w:after="120"/>
      </w:pPr>
      <w:r>
        <w:rPr>
          <w:rFonts w:ascii="Arial" w:cs="Arial" w:eastAsia="Arial" w:hAnsi="Arial"/>
          <w:b/>
          <w:bCs/>
          <w:color w:val="2E4F7A"/>
          <w:sz w:val="24"/>
          <w:szCs w:val="24"/>
        </w:rPr>
        <w:t xml:space="preserve">6.3 7-Level Numeral Hierarchy — Integration as Primary Claims</w:t>
      </w:r>
    </w:p>
    <w:p>
      <w:pPr>
        <w:spacing w:before="80" w:after="100"/>
      </w:pPr>
      <w:r>
        <w:rPr>
          <w:rFonts w:ascii="Arial" w:cs="Arial" w:eastAsia="Arial" w:hAnsi="Arial"/>
          <w:b w:val="false"/>
          <w:bCs w:val="false"/>
          <w:sz w:val="22"/>
          <w:szCs w:val="22"/>
        </w:rPr>
        <w:t xml:space="preserve">The 7-Level Numeral Hierarchy has been integrated into all four patents as PRIMARY CLAIMS rather than supplements. This represents a foundational architectural element that structures the entire system geometry. The following primary claim groups have been incorporated:</w:t>
      </w:r>
    </w:p>
    <w:p>
      <w:pPr>
        <w:pStyle w:val="ListParagraph"/>
        <w:numPr>
          <w:ilvl w:val="0"/>
          <w:numId w:val="2"/>
        </w:numPr>
        <w:spacing w:before="60" w:after="60"/>
        <w:ind w:left="720" w:hanging="360"/>
      </w:pPr>
      <w:r>
        <w:rPr>
          <w:rFonts w:ascii="Arial" w:cs="Arial" w:eastAsia="Arial" w:hAnsi="Arial"/>
          <w:sz w:val="22"/>
          <w:szCs w:val="22"/>
        </w:rPr>
        <w:t xml:space="preserve">Patent A (GME Core) — Claim Group VII (Claims 19-21): 7-Level Multi-Base Simultaneous Addressing, autopoietic thresholds, and breathing cycle geometry. The seven levels establish the fundamental hierarchical structure that enables the differential geometry library to operate as a self-referential, self-organizing system.</w:t>
      </w:r>
    </w:p>
    <w:p>
      <w:pPr>
        <w:pStyle w:val="ListParagraph"/>
        <w:numPr>
          <w:ilvl w:val="0"/>
          <w:numId w:val="2"/>
        </w:numPr>
        <w:spacing w:before="60" w:after="60"/>
        <w:ind w:left="720" w:hanging="360"/>
      </w:pPr>
      <w:r>
        <w:rPr>
          <w:rFonts w:ascii="Arial" w:cs="Arial" w:eastAsia="Arial" w:hAnsi="Arial"/>
          <w:sz w:val="22"/>
          <w:szCs w:val="22"/>
        </w:rPr>
        <w:t xml:space="preserve">Patent B (GME Application Layer) — Claims 13-14: Autopoietic Threshold Activation (3-6-9 activation sequence) and Structural Breathing Cycle. These claims operationalize the 7-level hierarchy at the application layer, enabling the system to exhibit true autopoietic behavior — self-generating, self-maintaining, self-aware information processing.</w:t>
      </w:r>
    </w:p>
    <w:p>
      <w:pPr>
        <w:pStyle w:val="ListParagraph"/>
        <w:numPr>
          <w:ilvl w:val="0"/>
          <w:numId w:val="2"/>
        </w:numPr>
        <w:spacing w:before="60" w:after="60"/>
        <w:ind w:left="720" w:hanging="360"/>
      </w:pPr>
      <w:r>
        <w:rPr>
          <w:rFonts w:ascii="Arial" w:cs="Arial" w:eastAsia="Arial" w:hAnsi="Arial"/>
          <w:sz w:val="22"/>
          <w:szCs w:val="22"/>
        </w:rPr>
        <w:t xml:space="preserve">Patent C (UMS Temporal Architecture) — Claim 16: Time Eternity Temporal Architecture. The 7-level hierarchy provides the dimensional scaffold that enables the simultaneous operation of Block Universe and Growing Block Universe, creating the lemniscate crossing-point structure at the Eternal Now interface.</w:t>
      </w:r>
    </w:p>
    <w:p>
      <w:pPr>
        <w:spacing w:before="80" w:after="100"/>
      </w:pPr>
      <w:r>
        <w:rPr>
          <w:rFonts w:ascii="Arial" w:cs="Arial" w:eastAsia="Arial" w:hAnsi="Arial"/>
          <w:b w:val="false"/>
          <w:bCs w:val="false"/>
          <w:sz w:val="22"/>
          <w:szCs w:val="22"/>
        </w:rPr>
        <w:t xml:space="preserve">RECOMMENDATION TO JIM WHITE: File these primary claim groups as independent claims in each respective provisional application, not as dependent claims or supplementary material. The 7-level hierarchy is not an addition to the claims — it is a foundational architectural principle that unifies all four patents into a single coherent system.</w:t>
      </w:r>
    </w:p>
    <w:p>
      <w:r>
        <w:t>COMPETITIVE NOTE FOR JIM WHITE: The portfolio's most defensible competitive advantage is a two-level geometric moat. Level one is the use of hyperbolic space (Poincare ball) for memory embedding — prior art exists at this level (Nickel and Kiela 2017; potentially emerging competitors such as DeepSeek). Level two is the dynamic curvature field that creates information lensing effects within the hyperbolic space. Standard Poincare ball embeddings have constant curvature everywhere — no curvature gradients, no geodesic deflection, no lensing. Lensing requires variable curvature created by the semantic bindings of Patent D (validation-to-curvature, goal-to-attractor, navigation-to-flow) operating on the geometric field operators of Patent A. Even a competitor who moves from flat Euclidean space to a Poincare ball gains only level one advantage. Level two — information lensing — requires the complete four-patent architecture. This should be emphasized in any prosecution arguments, licensing discussions, or investor presentations.</w:t>
      </w:r>
    </w:p>
    <w:p>
      <w:pPr>
        <w:pStyle w:val="Heading1"/>
        <w:spacing w:before="320" w:after="160"/>
      </w:pPr>
      <w:r>
        <w:rPr>
          <w:rFonts w:ascii="Arial" w:cs="Arial" w:eastAsia="Arial" w:hAnsi="Arial"/>
          <w:b/>
          <w:bCs/>
          <w:color w:val="1F3864"/>
          <w:sz w:val="28"/>
          <w:szCs w:val="28"/>
        </w:rPr>
        <w:t xml:space="preserve">7. Patent D — Cognitive Application Layer (Semantic Binding Architecture)</w:t>
      </w:r>
    </w:p>
    <w:p>
      <w:pPr>
        <w:spacing w:before="80" w:after="100"/>
      </w:pPr>
      <w:r>
        <w:rPr>
          <w:rFonts w:ascii="Arial" w:cs="Arial" w:eastAsia="Arial" w:hAnsi="Arial"/>
          <w:b w:val="false"/>
          <w:bCs w:val="false"/>
          <w:sz w:val="22"/>
          <w:szCs w:val="22"/>
        </w:rPr>
        <w:t xml:space="preserve">Patent D covers the cognitive application layer that operates on top of Patents A, B, and C. It claims the specific semantic bindings that connect knowledge structures to the geometric field operators of the GMS/GME architecture:</w:t>
      </w:r>
    </w:p>
    <w:p>
      <w:pPr>
        <w:pStyle w:val="ListParagraph"/>
        <w:numPr>
          <w:ilvl w:val="0"/>
          <w:numId w:val="2"/>
        </w:numPr>
        <w:spacing w:before="60" w:after="60"/>
        <w:ind w:left="720" w:hanging="360"/>
      </w:pPr>
      <w:r>
        <w:rPr>
          <w:rFonts w:ascii="Arial" w:cs="Arial" w:eastAsia="Arial" w:hAnsi="Arial"/>
          <w:sz w:val="22"/>
          <w:szCs w:val="22"/>
        </w:rPr>
        <w:t xml:space="preserve">Validation-to-Curvature Binding: user feedback modulates geometric stability via curvature field operators</w:t>
      </w:r>
    </w:p>
    <w:p>
      <w:pPr>
        <w:pStyle w:val="ListParagraph"/>
        <w:numPr>
          <w:ilvl w:val="0"/>
          <w:numId w:val="2"/>
        </w:numPr>
        <w:spacing w:before="60" w:after="60"/>
        <w:ind w:left="720" w:hanging="360"/>
      </w:pPr>
      <w:r>
        <w:rPr>
          <w:rFonts w:ascii="Arial" w:cs="Arial" w:eastAsia="Arial" w:hAnsi="Arial"/>
          <w:sz w:val="22"/>
          <w:szCs w:val="22"/>
        </w:rPr>
        <w:t xml:space="preserve">Goal-to-Attractor Binding: active goals create persistent metric valleys via attractor field operators</w:t>
      </w:r>
    </w:p>
    <w:p>
      <w:pPr>
        <w:pStyle w:val="ListParagraph"/>
        <w:numPr>
          <w:ilvl w:val="0"/>
          <w:numId w:val="2"/>
        </w:numPr>
        <w:spacing w:before="60" w:after="60"/>
        <w:ind w:left="720" w:hanging="360"/>
      </w:pPr>
      <w:r>
        <w:rPr>
          <w:rFonts w:ascii="Arial" w:cs="Arial" w:eastAsia="Arial" w:hAnsi="Arial"/>
          <w:sz w:val="22"/>
          <w:szCs w:val="22"/>
        </w:rPr>
        <w:t xml:space="preserve">Navigation-to-Flow Binding: per-user geodesic path accumulation creates personalized retrieval highways</w:t>
      </w:r>
    </w:p>
    <w:p>
      <w:pPr>
        <w:pStyle w:val="ListParagraph"/>
        <w:numPr>
          <w:ilvl w:val="0"/>
          <w:numId w:val="2"/>
        </w:numPr>
        <w:spacing w:before="60" w:after="60"/>
        <w:ind w:left="720" w:hanging="360"/>
      </w:pPr>
      <w:r>
        <w:rPr>
          <w:rFonts w:ascii="Arial" w:cs="Arial" w:eastAsia="Arial" w:hAnsi="Arial"/>
          <w:sz w:val="22"/>
          <w:szCs w:val="22"/>
        </w:rPr>
        <w:t xml:space="preserve">Entity-Relation-to-Bundle Binding: knowledge graphs integrated into fiber bundle topology with Pascal coordinate addresses</w:t>
      </w:r>
    </w:p>
    <w:p>
      <w:pPr>
        <w:pStyle w:val="ListParagraph"/>
        <w:numPr>
          <w:ilvl w:val="0"/>
          <w:numId w:val="2"/>
        </w:numPr>
        <w:spacing w:before="60" w:after="60"/>
        <w:ind w:left="720" w:hanging="360"/>
      </w:pPr>
      <w:r>
        <w:rPr>
          <w:rFonts w:ascii="Arial" w:cs="Arial" w:eastAsia="Arial" w:hAnsi="Arial"/>
          <w:sz w:val="22"/>
          <w:szCs w:val="22"/>
        </w:rPr>
        <w:t xml:space="preserve">Feedback-to-Causal-Connection Binding: learned causal associations modify fiber bundle connection forms</w:t>
      </w:r>
    </w:p>
    <w:p>
      <w:pPr>
        <w:pStyle w:val="ListParagraph"/>
        <w:numPr>
          <w:ilvl w:val="0"/>
          <w:numId w:val="2"/>
        </w:numPr>
        <w:spacing w:before="60" w:after="60"/>
        <w:ind w:left="720" w:hanging="360"/>
      </w:pPr>
      <w:r>
        <w:rPr>
          <w:rFonts w:ascii="Arial" w:cs="Arial" w:eastAsia="Arial" w:hAnsi="Arial"/>
          <w:sz w:val="22"/>
          <w:szCs w:val="22"/>
        </w:rPr>
        <w:t xml:space="preserve">Cognitive Query Pipeline: multi-stage pipeline returning induced geometric structures with entities, relations, sentiment aggregation, PGA decision drivers, and future state projections</w:t>
      </w:r>
    </w:p>
    <w:p>
      <w:pPr>
        <w:pStyle w:val="ListParagraph"/>
        <w:numPr>
          <w:ilvl w:val="0"/>
          <w:numId w:val="2"/>
        </w:numPr>
        <w:spacing w:before="60" w:after="60"/>
        <w:ind w:left="720" w:hanging="360"/>
      </w:pPr>
      <w:r>
        <w:rPr>
          <w:rFonts w:ascii="Arial" w:cs="Arial" w:eastAsia="Arial" w:hAnsi="Arial"/>
          <w:sz w:val="22"/>
          <w:szCs w:val="22"/>
        </w:rPr>
        <w:t xml:space="preserve">Temporal Mirror Engine: learnable mirror surface with conditional VAE for probabilistic future projection</w:t>
      </w:r>
    </w:p>
    <w:p>
      <w:pPr>
        <w:pStyle w:val="ListParagraph"/>
        <w:numPr>
          <w:ilvl w:val="0"/>
          <w:numId w:val="2"/>
        </w:numPr>
        <w:spacing w:before="60" w:after="60"/>
        <w:ind w:left="720" w:hanging="360"/>
      </w:pPr>
      <w:r>
        <w:rPr>
          <w:rFonts w:ascii="Arial" w:cs="Arial" w:eastAsia="Arial" w:hAnsi="Arial"/>
          <w:sz w:val="22"/>
          <w:szCs w:val="22"/>
        </w:rPr>
        <w:t xml:space="preserve">Cognitive Homeostasis: self-regulating system monitoring via the Breathing Cycle standing wave architecture</w:t>
      </w:r>
    </w:p>
    <w:p>
      <w:pPr>
        <w:spacing w:before="80" w:after="100"/>
      </w:pPr>
      <w:r>
        <w:rPr>
          <w:rFonts w:ascii="Arial" w:cs="Arial" w:eastAsia="Arial" w:hAnsi="Arial"/>
          <w:b w:val="false"/>
          <w:bCs w:val="false"/>
          <w:sz w:val="22"/>
          <w:szCs w:val="22"/>
        </w:rPr>
        <w:t xml:space="preserve">Patent D contains 33 claims (9 independent, 24 dependent). 22 original claims cover the semantic binding layer, 8 dependent claims cover specific mathematical formulations, and 3 new claims cover GMS/GME framework integration (chi operator cognitive selection, Pascal Pyramid cognitive addressing, Three Constant Presents temporal cognitive state management).</w:t>
      </w:r>
    </w:p>
    <w:p>
      <w:pPr>
        <w:pBdr>
          <w:bottom w:val="single" w:color="2E4F7A" w:sz="4" w:space="1"/>
        </w:pBdr>
        <w:spacing w:before="120" w:after="120"/>
      </w:pPr>
      <w:r>
        <w:t xml:space="preserve"/>
      </w:r>
    </w:p>
    <w:p>
      <w:pPr>
        <w:pStyle w:val="Heading1"/>
        <w:spacing w:before="320" w:after="160"/>
      </w:pPr>
      <w:r>
        <w:rPr>
          <w:rFonts w:ascii="Arial" w:cs="Arial" w:eastAsia="Arial" w:hAnsi="Arial"/>
          <w:b/>
          <w:bCs/>
          <w:color w:val="1F3864"/>
          <w:sz w:val="28"/>
          <w:szCs w:val="28"/>
        </w:rPr>
        <w:t xml:space="preserve">8. Recommended Approach — Provisional Filing Now</w:t>
      </w:r>
    </w:p>
    <w:p>
      <w:pPr>
        <w:spacing w:before="80" w:after="100"/>
      </w:pPr>
      <w:r>
        <w:rPr>
          <w:rFonts w:ascii="Arial" w:cs="Arial" w:eastAsia="Arial" w:hAnsi="Arial"/>
          <w:b w:val="false"/>
          <w:bCs w:val="false"/>
          <w:sz w:val="22"/>
          <w:szCs w:val="22"/>
        </w:rPr>
        <w:t xml:space="preserve">Filing provisional patent applications immediately is the correct approach for the following reasons:</w:t>
      </w:r>
    </w:p>
    <w:p>
      <w:pPr>
        <w:pStyle w:val="ListParagraph"/>
        <w:numPr>
          <w:ilvl w:val="0"/>
          <w:numId w:val="2"/>
        </w:numPr>
        <w:spacing w:before="60" w:after="60"/>
        <w:ind w:left="720" w:hanging="360"/>
      </w:pPr>
      <w:r>
        <w:rPr>
          <w:rFonts w:ascii="Arial" w:cs="Arial" w:eastAsia="Arial" w:hAnsi="Arial"/>
          <w:sz w:val="22"/>
          <w:szCs w:val="22"/>
        </w:rPr>
        <w:t xml:space="preserve">Priority date protection: TCP and UMS represent genuinely novel developments. Establishing priority dates now prevents any later filer from claiming prior art in this territory.</w:t>
      </w:r>
    </w:p>
    <w:p>
      <w:pPr>
        <w:pStyle w:val="ListParagraph"/>
        <w:numPr>
          <w:ilvl w:val="0"/>
          <w:numId w:val="2"/>
        </w:numPr>
        <w:spacing w:before="60" w:after="60"/>
        <w:ind w:left="720" w:hanging="360"/>
      </w:pPr>
      <w:r>
        <w:rPr>
          <w:rFonts w:ascii="Arial" w:cs="Arial" w:eastAsia="Arial" w:hAnsi="Arial"/>
          <w:sz w:val="22"/>
          <w:szCs w:val="22"/>
        </w:rPr>
        <w:t xml:space="preserve">12-month runway: provisional filings provide 12 months to complete the full non-provisional applications while locking the priority date today.</w:t>
      </w:r>
    </w:p>
    <w:p>
      <w:pPr>
        <w:pStyle w:val="ListParagraph"/>
        <w:numPr>
          <w:ilvl w:val="0"/>
          <w:numId w:val="2"/>
        </w:numPr>
        <w:spacing w:before="60" w:after="60"/>
        <w:ind w:left="720" w:hanging="360"/>
      </w:pPr>
      <w:r>
        <w:rPr>
          <w:rFonts w:ascii="Arial" w:cs="Arial" w:eastAsia="Arial" w:hAnsi="Arial"/>
          <w:sz w:val="22"/>
          <w:szCs w:val="22"/>
        </w:rPr>
        <w:t xml:space="preserve">Cost efficiency: provisionals are significantly less expensive than full applications, allowing protection to be established while the detailed technical specification and claims are developed with counsel.</w:t>
      </w:r>
    </w:p>
    <w:p>
      <w:pPr>
        <w:pStyle w:val="ListParagraph"/>
        <w:numPr>
          <w:ilvl w:val="0"/>
          <w:numId w:val="2"/>
        </w:numPr>
        <w:spacing w:before="60" w:after="60"/>
        <w:ind w:left="720" w:hanging="360"/>
      </w:pPr>
      <w:r>
        <w:rPr>
          <w:rFonts w:ascii="Arial" w:cs="Arial" w:eastAsia="Arial" w:hAnsi="Arial"/>
          <w:sz w:val="22"/>
          <w:szCs w:val="22"/>
        </w:rPr>
        <w:t xml:space="preserve">Momentum: the theoretical architecture is now sufficiently developed to support defensible claims. Waiting adds risk without adding benefit.</w:t>
      </w:r>
    </w:p>
    <w:p>
      <w:pPr>
        <w:pStyle w:val="ListParagraph"/>
        <w:numPr>
          <w:ilvl w:val="0"/>
          <w:numId w:val="2"/>
        </w:numPr>
        <w:spacing w:before="60" w:after="60"/>
        <w:ind w:left="720" w:hanging="360"/>
      </w:pPr>
      <w:r>
        <w:rPr>
          <w:rFonts w:ascii="Arial" w:cs="Arial" w:eastAsia="Arial" w:hAnsi="Arial"/>
          <w:sz w:val="22"/>
          <w:szCs w:val="22"/>
        </w:rPr>
        <w:t xml:space="preserve">Material is ready: the existing GME patents (A and B) provide a documented prior art baseline. The TCP/UMS theoretical development is documented in the working notes, session transcripts, UMS Summary documents (Parts I, II, III), and implementation briefs. Formal filings documentation from Jeremiah is incoming.</w:t>
      </w:r>
    </w:p>
    <w:p>
      <w:pPr>
        <w:pBdr>
          <w:bottom w:val="single" w:color="2E4F7A" w:sz="4" w:space="1"/>
        </w:pBdr>
        <w:spacing w:before="120" w:after="120"/>
      </w:pPr>
      <w:r>
        <w:t xml:space="preserve"/>
      </w:r>
    </w:p>
    <w:p>
      <w:pPr>
        <w:pStyle w:val="Heading1"/>
        <w:spacing w:before="320" w:after="160"/>
      </w:pPr>
      <w:r>
        <w:rPr>
          <w:rFonts w:ascii="Arial" w:cs="Arial" w:eastAsia="Arial" w:hAnsi="Arial"/>
          <w:b/>
          <w:bCs/>
          <w:color w:val="1F3864"/>
          <w:sz w:val="28"/>
          <w:szCs w:val="28"/>
        </w:rPr>
        <w:t xml:space="preserve">8. Materials Available for Attorney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val="false"/>
                <w:bCs w:val="false"/>
                <w:color w:val="FFFFFF"/>
                <w:sz w:val="20"/>
                <w:szCs w:val="20"/>
              </w:rPr>
              <w:t xml:space="preserve">Description / Location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Patent A — GME Core</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Documentation prepared for filing. Reference materials in Workspace/IP &amp; Patents/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Patent B — GME Application Layer</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Documentation prepared for filing. Reference materials in Workspace/IP &amp; Patents/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Patent Co-Ownership &amp; Maintenance Agreement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Four-owner patent co-ownership agreement — in preparation. Reference: Workspace/IP &amp; Patents/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UMS Summary Part I</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Unified Memory System architecture — foundational overview</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UMS Summary Part II</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components, query pipeline, temporal projection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UMS Summary Part III</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 Constant Presents, TCP architecture, completion of original vision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Jeremiah Brief (TCP_Brief_For_Jeremiah_v1)</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Conceptual bridge document explaining TCP to implementation team</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Transcripts (GBU Deductive Reasoning)</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Formal deductive derivation of TCP geometry from current GME structure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GME Architecture Notes</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Current-state snapshot with gap analysis: what exists vs. what TCP adds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GBU/BU Theory Working Notes</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theoretical development of Three Constant Presents framework</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VLP Engagement Letter</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Engagement with VLP Law Group LLP. Filed: Patents &amp; Filings/VLP Law Group/</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Finalized GME README (incoming)</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specification from Jeremiah — pending receipt</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Patent Filings (incoming)</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filings from Jeremiah — pending receipt for review</w:t>
            </w:r>
          </w:p>
        </w:tc>
      </w:tr>
    </w:tbl>
    <w:p>
      <w:pPr>
        <w:spacing w:before="160" w:after="80"/>
      </w:pPr>
    </w:p>
    <w:p>
      <w:pPr>
        <w:pBdr>
          <w:bottom w:val="single" w:color="2E4F7A" w:sz="4" w:space="1"/>
        </w:pBdr>
        <w:spacing w:before="120" w:after="120"/>
      </w:pPr>
      <w:r>
        <w:t xml:space="preserve"/>
      </w:r>
    </w:p>
    <w:p>
      <w:pPr>
        <w:pStyle w:val="Heading1"/>
        <w:spacing w:before="320" w:after="160"/>
      </w:pPr>
      <w:r>
        <w:rPr>
          <w:rFonts w:ascii="Arial" w:cs="Arial" w:eastAsia="Arial" w:hAnsi="Arial"/>
          <w:b/>
          <w:bCs/>
          <w:color w:val="1F3864"/>
          <w:sz w:val="28"/>
          <w:szCs w:val="28"/>
        </w:rPr>
        <w:t xml:space="preserve">9. A Critical Distinction for Framing the Claims — Theoretical vs. Buildable</w:t>
      </w:r>
    </w:p>
    <w:p>
      <w:pPr>
        <w:spacing w:before="0" w:after="160"/>
      </w:pPr>
      <w:r>
        <w:rPr>
          <w:rFonts w:ascii="Arial" w:cs="Arial" w:eastAsia="Arial" w:hAnsi="Arial"/>
          <w:sz w:val="24"/>
          <w:szCs w:val="24"/>
        </w:rPr>
        <w:t xml:space="preserve">We wish to flag a framing distinction that we believe is relevant to how the claims in all four patents are positioned — particularly with respect to industrial applicability and the response to potential prior art or obviousness challenges.</w:t>
      </w:r>
    </w:p>
    <w:p>
      <w:pPr>
        <w:spacing w:before="0" w:after="160"/>
      </w:pPr>
      <w:r>
        <w:rPr>
          <w:rFonts w:ascii="Arial" w:cs="Arial" w:eastAsia="Arial" w:hAnsi="Arial"/>
          <w:sz w:val="24"/>
          <w:szCs w:val="24"/>
        </w:rPr>
        <w:t xml:space="preserve">The GMS/GME architecture is built on a foundational theoretical claim: that three-dimensional space is derived from four temporal coordinates — the spacetime inversion. Demonstrating this claim at the cosmological scale is a hard scientific problem. It may take decades. We acknowledge that honestly.</w:t>
      </w:r>
    </w:p>
    <w:p>
      <w:pPr>
        <w:spacing w:before="0" w:after="160"/>
      </w:pPr>
      <w:r>
        <w:rPr>
          <w:rFonts w:ascii="Arial" w:cs="Arial" w:eastAsia="Arial" w:hAnsi="Arial"/>
          <w:sz w:val="24"/>
          <w:szCs w:val="24"/>
        </w:rPr>
        <w:t xml:space="preserve">However, the following distinction is essential and must be carried clearly through the patent language:</w:t>
      </w:r>
    </w:p>
    <w:p>
      <w:pPr>
        <w:pBdr>
          <w:left w:val="single" w:color="4472C4" w:sz="6" w:space="10"/>
        </w:pBdr>
        <w:spacing w:before="160" w:after="160"/>
        <w:ind w:left="720" w:right="720"/>
      </w:pPr>
      <w:r>
        <w:rPr>
          <w:rFonts w:ascii="Arial" w:cs="Arial" w:eastAsia="Arial" w:hAnsi="Arial"/>
          <w:b/>
          <w:bCs/>
          <w:sz w:val="24"/>
          <w:szCs w:val="24"/>
          <w:color w:val="1F3864"/>
        </w:rPr>
        <w:t xml:space="preserve">Theoretical in the physical universe is not the same as theoretical in a computing architecture. The mathematics that describes the spacetime inversion is fully implementable in software right now. The geometry works. The addressing works. The routing works. The GME is a real-world application of that theory, operating inside a computing framework, today. The theory may be unproven at the cosmological scale. The architecture built on it is not theoretical. It is buildable. It is being built.</w:t>
      </w:r>
    </w:p>
    <w:p>
      <w:pPr>
        <w:spacing w:before="0" w:after="160"/>
      </w:pPr>
      <w:r>
        <w:rPr>
          <w:rFonts w:ascii="Arial" w:cs="Arial" w:eastAsia="Arial" w:hAnsi="Arial"/>
          <w:sz w:val="24"/>
          <w:szCs w:val="24"/>
        </w:rPr>
        <w:t xml:space="preserve">This is not a new situation in the history of patentable technology. General relativity was considered theoretical until GPS systems required relativistic corrections to function accurately — those systems are patented and commercially deployed. Quantum mechanics was considered theoretical until semiconductor fabrication required it as an engineering discipline — an industry now worth trillions of dollars. In both cases, the practical computing and engineering application preceded complete cosmological or experimental proof. The patents on those applications did not require cosmological validation to be granted, enforced, or commercialized.</w:t>
      </w:r>
    </w:p>
    <w:p>
      <w:pPr>
        <w:spacing w:before="0" w:after="160"/>
      </w:pPr>
      <w:r>
        <w:rPr>
          <w:rFonts w:ascii="Arial" w:cs="Arial" w:eastAsia="Arial" w:hAnsi="Arial"/>
          <w:sz w:val="24"/>
          <w:szCs w:val="24"/>
        </w:rPr>
        <w:t xml:space="preserve">The GME follows the same pattern. Parts A and B of the architecture are already implemented and functioning. The Pascal coordinate system, the Poincaré ball embedding, and the χ = 4 constant are not speculative — they are operational components of a working system. The deeper theoretical claims (spacetime inversion, Three Constant Presents, growing block universe geometry) provide the theoretical foundation for the architecture and represent genuinely novel scientific positions — but the patent claims stand on the mathematical and engineering architecture independently of whether those cosmological claims are validated.</w:t>
      </w:r>
    </w:p>
    <w:p>
      <w:pPr>
        <w:spacing w:before="0" w:after="160"/>
      </w:pPr>
      <w:r>
        <w:rPr>
          <w:rFonts w:ascii="Arial" w:cs="Arial" w:eastAsia="Arial" w:hAnsi="Arial"/>
          <w:sz w:val="24"/>
          <w:szCs w:val="24"/>
        </w:rPr>
        <w:t xml:space="preserve">We request Jim White’s counsel on how to optimally embed this framing within the patent specifications — specifically in the Brief Description of the Invention and Industrial Applicability sections — to ensure the claims are positioned on the strongest possible footing with respect to utility and enablement requirements.</w:t>
      </w:r>
    </w:p>
    <w:p>
      <w:pPr>
        <w:pBdr>
          <w:top w:val="single" w:color="DDDDDD" w:sz="2" w:space="4"/>
        </w:pBdr>
        <w:spacing w:before="160" w:after="160"/>
      </w:pPr>
      <w:r>
        <w:t xml:space="preserve"/>
      </w:r>
    </w:p>
    <w:p>
      <w:pPr>
        <w:pStyle w:val="Heading1"/>
        <w:spacing w:before="320" w:after="160"/>
      </w:pPr>
      <w:r>
        <w:rPr>
          <w:rFonts w:ascii="Arial" w:cs="Arial" w:eastAsia="Arial" w:hAnsi="Arial"/>
          <w:b/>
          <w:bCs/>
          <w:color w:val="1F3864"/>
          <w:sz w:val="28"/>
          <w:szCs w:val="28"/>
        </w:rPr>
        <w:t xml:space="preserve">10. Recommended Next Steps</w:t>
      </w:r>
    </w:p>
    <w:p>
      <w:pPr>
        <w:pStyle w:val="ListParagraph"/>
        <w:numPr>
          <w:ilvl w:val="0"/>
          <w:numId w:val="3"/>
        </w:numPr>
        <w:spacing w:before="80" w:after="60"/>
        <w:ind w:left="720" w:hanging="360"/>
      </w:pPr>
      <w:r>
        <w:rPr>
          <w:rFonts w:ascii="Arial" w:cs="Arial" w:eastAsia="Arial" w:hAnsi="Arial"/>
          <w:sz w:val="22"/>
          <w:szCs w:val="22"/>
        </w:rPr>
        <w:t xml:space="preserve">Schedule counseling session with Jim White to review this memo and prioritize the provisional filings.</w:t>
      </w:r>
    </w:p>
    <w:p>
      <w:pPr>
        <w:pStyle w:val="ListParagraph"/>
        <w:numPr>
          <w:ilvl w:val="0"/>
          <w:numId w:val="3"/>
        </w:numPr>
        <w:spacing w:before="60" w:after="60"/>
        <w:ind w:left="720" w:hanging="360"/>
      </w:pPr>
      <w:r>
        <w:rPr>
          <w:rFonts w:ascii="Arial" w:cs="Arial" w:eastAsia="Arial" w:hAnsi="Arial"/>
          <w:sz w:val="22"/>
          <w:szCs w:val="22"/>
        </w:rPr>
        <w:t xml:space="preserve">Provide Jim White with the UMS Summary documents (Parts I, II, III) and existing Patents A and B for technical review.</w:t>
      </w:r>
    </w:p>
    <w:p>
      <w:pPr>
        <w:pStyle w:val="ListParagraph"/>
        <w:numPr>
          <w:ilvl w:val="0"/>
          <w:numId w:val="3"/>
        </w:numPr>
        <w:spacing w:before="60" w:after="60"/>
        <w:ind w:left="720" w:hanging="360"/>
      </w:pPr>
      <w:r>
        <w:rPr>
          <w:rFonts w:ascii="Arial" w:cs="Arial" w:eastAsia="Arial" w:hAnsi="Arial"/>
          <w:sz w:val="22"/>
          <w:szCs w:val="22"/>
        </w:rPr>
        <w:t xml:space="preserve">Once finalized GME README and prior patent filings are received from Jeremiah, provide to VLP for ingestion.</w:t>
      </w:r>
    </w:p>
    <w:p>
      <w:pPr>
        <w:pStyle w:val="ListParagraph"/>
        <w:numPr>
          <w:ilvl w:val="0"/>
          <w:numId w:val="3"/>
        </w:numPr>
        <w:spacing w:before="60" w:after="60"/>
        <w:ind w:left="720" w:hanging="360"/>
      </w:pPr>
      <w:r>
        <w:rPr>
          <w:rFonts w:ascii="Arial" w:cs="Arial" w:eastAsia="Arial" w:hAnsi="Arial"/>
          <w:sz w:val="22"/>
          <w:szCs w:val="22"/>
        </w:rPr>
        <w:t xml:space="preserve">File provisionals for: (a) Patent A additions, (b) Patent B additions, (c) Patent C — UMS Unified Temporal Architecture, (d) Patent D — Cognitive Application Layer (Semantic Binding Architecture).</w:t>
      </w:r>
    </w:p>
    <w:p>
      <w:pPr>
        <w:pStyle w:val="ListParagraph"/>
        <w:numPr>
          <w:ilvl w:val="0"/>
          <w:numId w:val="3"/>
        </w:numPr>
        <w:spacing w:before="60" w:after="60"/>
        <w:ind w:left="720" w:hanging="360"/>
      </w:pPr>
      <w:r>
        <w:rPr>
          <w:rFonts w:ascii="Arial" w:cs="Arial" w:eastAsia="Arial" w:hAnsi="Arial"/>
          <w:sz w:val="22"/>
          <w:szCs w:val="22"/>
        </w:rPr>
        <w:t xml:space="preserve">Obtain signatures from Matthew Foster, Jeremiah Jeschke, and Todd Nelson on the VLP engagement letter (currently pending for three of four co-owners).</w:t>
      </w:r>
    </w:p>
    <w:p>
      <w:pPr>
        <w:pBdr>
          <w:bottom w:val="single" w:color="2E4F7A" w:sz="4" w:space="1"/>
        </w:pBdr>
        <w:spacing w:before="120" w:after="120"/>
      </w:pPr>
      <w:r>
        <w:t xml:space="preserve"/>
      </w:r>
    </w:p>
    <w:p>
      <w:pPr>
        <w:pStyle w:val="Heading1"/>
        <w:spacing w:before="320" w:after="160"/>
      </w:pPr>
      <w:r>
        <w:rPr>
          <w:rFonts w:ascii="Arial" w:cs="Arial" w:eastAsia="Arial" w:hAnsi="Arial"/>
          <w:b/>
          <w:bCs/>
          <w:color w:val="1F3864"/>
          <w:sz w:val="28"/>
          <w:szCs w:val="28"/>
        </w:rPr>
        <w:t xml:space="preserve">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Party</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val="false"/>
                <w:bCs w:val="false"/>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Jim White (Managing Attorney)</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JWhite@vlplawgroup.com
206-604-4452 (cell)  |  206-905-8188 (work)
29832 2nd PL SW, Federal Way, WA 98023</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Patent Email (VLP)</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patents@vlplawgroup.com</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Michael Guarino (Primary Contact)</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mguarino@liquefexlab.com | Annapolis, MD | Engagement: VLP Law Group LLP</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Matthew T. Foster (Co-Owner)</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Snohomish, WA — signature pending on engagement letter</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Jeremiah F. Jeschke (Co-Owner)</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Seattle, WA — signature pending on engagement letter</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Todd Nelson (Co-Owner)</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Paxton, IL — signature pending on engagement letter</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Repository</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repository owner — holds the GME codebase on behalf of four co-owners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Billing Rates</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Jim White: $650/hr
Angela Wendel (paralegal): $335/hr
Elisabeth Smith (paralegal): $335/hr</w:t>
            </w:r>
          </w:p>
        </w:tc>
      </w:tr>
    </w:tbl>
    <w:p>
      <w:pPr>
        <w:spacing w:before="240" w:after="80"/>
      </w:pPr>
    </w:p>
    <w:p>
      <w:pPr>
        <w:spacing w:before="80" w:after="80"/>
      </w:pPr>
      <w:r>
        <w:rPr>
          <w:rFonts w:ascii="Arial" w:cs="Arial" w:eastAsia="Arial" w:hAnsi="Arial"/>
          <w:i/>
          <w:iCs/>
          <w:color w:val="666666"/>
          <w:sz w:val="20"/>
          <w:szCs w:val="20"/>
        </w:rPr>
        <w:t xml:space="preserve">This memorandum is prepared for attorney review and is protected by attorney-client privilege. All technical content represents proprietary intellectual property of the co-owners.</w:t>
      </w:r>
    </w:p>
    <w:sectPr>
      <w:headerReference w:type="default" r:id="rId6"/>
      <w:footerReference w:type="default" r:id="rId7"/>
      <w:pgSz w:w="12240" w:h="15840" w:orient="portrait"/>
      <w:pgMar w:top="1440" w:right="1440" w:bottom="1440" w:left="1440" w:header="708" w:footer="708" w:gutter="0"/>
      <w:pgNumType/>
      <w:docGrid w:linePitch="360"/>
    </w:sectPr>
    <w:p>
      <w:pPr>
        <w:spacing w:before="240" w:after="120"/>
      </w:pPr>
      <w:r>
        <w:rPr>
          <w:rFonts w:ascii="Arial" w:hAnsi="Arial" w:cs="Arial" w:eastAsia="Arial"/>
          <w:b/>
          <w:sz w:val="26"/>
          <w:szCs w:val="26"/>
        </w:rPr>
        <w:t>ADDENDUM: PROSECUTION STRENGTHENING COMPLETED (March 19, 2026)</w:t>
      </w:r>
    </w:p>
    <w:p>
      <w:pPr>
        <w:spacing w:after="80"/>
      </w:pPr>
      <w:r>
        <w:rPr>
          <w:rFonts w:ascii="Arial" w:hAnsi="Arial" w:cs="Arial" w:eastAsia="Arial"/>
          <w:sz w:val="22"/>
          <w:szCs w:val="22"/>
        </w:rPr>
        <w:t xml:space="preserve">Three independent IP reviews were conducted (strategist, attorney, patent drafting specialist) and the following gaps were identified and addressed by bridging content from the GMS Mathematical Foundations document (25 sections, approximately 30,000 words of formal mathematics) into the patent specifications:</w:t>
      </w:r>
    </w:p>
    <w:p>
      <w:pPr>
        <w:spacing w:before="120" w:after="80"/>
      </w:pPr>
      <w:r>
        <w:rPr>
          <w:rFonts w:ascii="Arial" w:hAnsi="Arial" w:cs="Arial" w:eastAsia="Arial"/>
          <w:b/>
          <w:sz w:val="22"/>
          <w:szCs w:val="22"/>
        </w:rPr>
        <w:t>Patent A Strengthening:</w:t>
      </w:r>
    </w:p>
    <w:p>
      <w:pPr>
        <w:spacing w:after="80"/>
      </w:pPr>
      <w:r>
        <w:rPr>
          <w:rFonts w:ascii="Arial" w:hAnsi="Arial" w:cs="Arial" w:eastAsia="Arial"/>
          <w:sz w:val="22"/>
          <w:szCs w:val="22"/>
        </w:rPr>
        <w:t xml:space="preserve">1. Chi Operator algorithmic specification added (from Mathematical Foundations sections 1 and 11): descent matrix, projection matrix, symmetry matrix with formal proof that Pascal coefficient = multiplicity of arrival. Supports Claims 9-11. 2. PDE computational specification added (from section 8): closed-form solution psi(a,b,c;n) = C(n;a,b,c)/3^n, recurrence relation, Shannon entropy computation. Supports Claims 15-16. 3. Huffman optimality formal basis added (from section 9): prefix-free encoding proof, structural frequency weights, lossless compression guarantee. Supports Claim 5. 4. NEW CLAIM 18a: Information Lensing -- geodesic deflection by variable curvature created by validation patterns, goals, and navigation flows. Distinguishes from both flat Euclidean space AND constant-curvature Poincare ball. This is the portfolio's most defensible competitive claim.</w:t>
      </w:r>
    </w:p>
    <w:p>
      <w:pPr>
        <w:spacing w:before="120" w:after="80"/>
      </w:pPr>
      <w:r>
        <w:rPr>
          <w:rFonts w:ascii="Arial" w:hAnsi="Arial" w:cs="Arial" w:eastAsia="Arial"/>
          <w:b/>
          <w:sz w:val="22"/>
          <w:szCs w:val="22"/>
        </w:rPr>
        <w:t>Patent C Strengthening:</w:t>
      </w:r>
    </w:p>
    <w:p>
      <w:pPr>
        <w:spacing w:after="80"/>
      </w:pPr>
      <w:r>
        <w:rPr>
          <w:rFonts w:ascii="Arial" w:hAnsi="Arial" w:cs="Arial" w:eastAsia="Arial"/>
          <w:sz w:val="22"/>
          <w:szCs w:val="22"/>
        </w:rPr>
        <w:t xml:space="preserve">1. Spacetime inversion computational foundation added (from section 10): 3-simplex dimensional proof, induced metric formula, proof that Poincare ball is the correct metric for the temporal window interior. Supports Claims 4-7. 2. Multiple continuum set-theoretic foundation added (from section 7): formal Block Universe definition with cardinality aleph-1, chi-traversal equivalence relation, chi-inverse routing proof. Supports Claims 8-11. 3. The 28 Algorithm triple convergence proof added (from sections 4 and 16): triangular-perfect number theorem, divisor encoding, self-description property. Supports Claims 12-13. 4. Time eternity operational definition added (from section 16.4): formal definition, 3-6-9 threshold architecture as wormhole gates. Supports Claim 16.</w:t>
      </w:r>
    </w:p>
    <w:p>
      <w:pPr>
        <w:spacing w:before="120" w:after="80"/>
      </w:pPr>
      <w:r>
        <w:rPr>
          <w:rFonts w:ascii="Arial" w:hAnsi="Arial" w:cs="Arial" w:eastAsia="Arial"/>
          <w:b/>
          <w:sz w:val="22"/>
          <w:szCs w:val="22"/>
        </w:rPr>
        <w:t>Implementation Specification (Companion Document):</w:t>
      </w:r>
    </w:p>
    <w:p>
      <w:pPr>
        <w:spacing w:after="80"/>
      </w:pPr>
      <w:r>
        <w:rPr>
          <w:rFonts w:ascii="Arial" w:hAnsi="Arial" w:cs="Arial" w:eastAsia="Arial"/>
          <w:sz w:val="22"/>
          <w:szCs w:val="22"/>
        </w:rPr>
        <w:t xml:space="preserve">A separate Implementation Specification document accompanies all four patents. It contains: pseudocode algorithms for all major systems, data structures with field-level specifications, computational complexity analysis, all bridged mathematical detail (chi operator matrices, PDE solutions, Huffman proof, continuum set theory, 28 proof, pre-deterministic/non-deterministic duality with the 0.999...=1 identity), and empirical performance data from 14 sessions of testing. This document provides enablement support for all 84 claims across the four patents without placing implementation code in the patent specifications themselves.</w:t>
      </w:r>
    </w:p>
    <w:p>
      <w:pPr>
        <w:spacing w:before="120" w:after="80"/>
      </w:pPr>
      <w:r>
        <w:rPr>
          <w:rFonts w:ascii="Arial" w:hAnsi="Arial" w:cs="Arial" w:eastAsia="Arial"/>
          <w:b/>
          <w:sz w:val="22"/>
          <w:szCs w:val="22"/>
        </w:rPr>
        <w:t>Filing Package for Jim White:</w:t>
      </w:r>
    </w:p>
    <w:p>
      <w:pPr>
        <w:spacing w:after="80"/>
      </w:pPr>
      <w:r>
        <w:rPr>
          <w:rFonts w:ascii="Arial" w:hAnsi="Arial" w:cs="Arial" w:eastAsia="Arial"/>
          <w:sz w:val="22"/>
          <w:szCs w:val="22"/>
        </w:rPr>
        <w:t xml:space="preserve">The complete provisional filing package consists of: (1) Patent A -- GME Core Architecture, 21 claims, 7 independent; (2) Patent B -- Inception Rule Ingestion Protocol, 14 claims, 6 independent; (3) Patent C -- UMS Three Constant Presents Architecture, 16 claims, 6 independent; (4) Patent D -- Cognitive Application Layer, 33 claims, 9 independent; (5) Implementation Specification -- algorithmic detail, data structures, and performance validation. Total: 84 claims, 28 independent, across four integrated provisional patents. Three IP review documents (strategist, attorney, patent drafting specialist) are included for prosecution planning. All gaps identified by the specialist reviews have been addressed in the patent specifications.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026"/>
      </w:tabs>
      <w:spacing w:before="120"/>
    </w:pPr>
    <w:r>
      <w:rPr>
        <w:rFonts w:ascii="Arial" w:cs="Arial" w:eastAsia="Arial" w:hAnsi="Arial"/>
        <w:color w:val="666666"/>
        <w:sz w:val="18"/>
        <w:szCs w:val="18"/>
      </w:rPr>
      <w:t xml:space="preserve">Patent Strategy Briefing — Three Constant Presents / UMS Architecture</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right" w:pos="9026"/>
      </w:tabs>
      <w:spacing w:after="120"/>
    </w:pPr>
    <w:r>
      <w:rPr>
        <w:rFonts w:ascii="Arial" w:cs="Arial" w:eastAsia="Arial" w:hAnsi="Arial"/>
        <w:b/>
        <w:bCs/>
        <w:color w:val="1F3864"/>
        <w:sz w:val="18"/>
        <w:szCs w:val="18"/>
      </w:rPr>
      <w:t xml:space="preserve">CONFIDENTIAL — ATTORNEY-CLIENT PRIVILEGED</w:t>
    </w:r>
    <w:r>
      <w:rPr>
        <w:rFonts w:ascii="Arial" w:cs="Arial" w:eastAsia="Arial" w:hAnsi="Arial"/>
        <w:color w:val="666666"/>
        <w:sz w:val="18"/>
        <w:szCs w:val="18"/>
      </w:rPr>
      <w:t xml:space="preserve">	Trinary Space LLC / Attractor Dynamix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4F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2026-03-13T21:56:27.377Z</dcterms:created>
  <dcterms:modified xsi:type="dcterms:W3CDTF">2026-03-13T21:56:27.377Z</dcterms:modified>
</cp:coreProperties>
</file>

<file path=docProps/custom.xml><?xml version="1.0" encoding="utf-8"?>
<Properties xmlns="http://schemas.openxmlformats.org/officeDocument/2006/custom-properties" xmlns:vt="http://schemas.openxmlformats.org/officeDocument/2006/docPropsVTypes"/>
</file>