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0" w:after="240"/>
        <w:jc w:val="center"/>
      </w:pPr>
      <w:r>
        <w:rPr>
          <w:rFonts w:ascii="Arial" w:cs="Arial" w:eastAsia="Arial" w:hAnsi="Arial"/>
          <w:b/>
          <w:bCs/>
          <w:color w:val="0B2342"/>
          <w:sz w:val="52"/>
          <w:szCs w:val="52"/>
        </w:rPr>
        <w:t xml:space="preserve">PATENT B — PROVISIONAL DRAFT</w:t>
      </w:r>
    </w:p>
    <w:p>
      <w:pPr>
        <w:spacing w:before="0" w:after="160"/>
        <w:jc w:val="center"/>
      </w:pPr>
      <w:r>
        <w:rPr>
          <w:rFonts w:ascii="Arial" w:cs="Arial" w:eastAsia="Arial" w:hAnsi="Arial"/>
          <w:b/>
          <w:bCs/>
          <w:color w:val="0B2342"/>
          <w:sz w:val="32"/>
          <w:szCs w:val="32"/>
        </w:rPr>
        <w:t xml:space="preserve">Geometric Memory Engine — Inception Rule Ingestion Protocol</w:t>
      </w:r>
    </w:p>
    <w:p>
      <w:pPr>
        <w:spacing w:before="0" w:after="480"/>
        <w:jc w:val="center"/>
      </w:pPr>
      <w:r>
        <w:rPr>
          <w:rFonts w:ascii="Arial" w:cs="Arial" w:eastAsia="Arial" w:hAnsi="Arial"/>
          <w:i/>
          <w:iCs/>
          <w:color w:val="1A3F6B"/>
          <w:sz w:val="26"/>
          <w:szCs w:val="26"/>
        </w:rPr>
        <w:t xml:space="preserve">Four-Step Geometric Memory Ingestion Protocol with Simultaneous Pascal Coordinate Assignment, Semantic Classification, Tesseract Face Code Assignment, and Chi-Operator Temporal Window Actualization</w:t>
      </w:r>
    </w:p>
    <w:p>
      <w:pPr>
        <w:spacing w:before="0" w:after="80"/>
        <w:jc w:val="center"/>
      </w:pPr>
      <w:r>
        <w:rPr>
          <w:rFonts w:ascii="Arial" w:cs="Arial" w:eastAsia="Arial" w:hAnsi="Arial"/>
          <w:color w:val="444444"/>
          <w:sz w:val="22"/>
          <w:szCs w:val="22"/>
        </w:rPr>
        <w:t xml:space="preserve">Provisional Patent Application</w:t>
      </w:r>
    </w:p>
    <w:p>
      <w:pPr>
        <w:spacing w:before="0" w:after="80"/>
        <w:jc w:val="center"/>
      </w:pPr>
      <w:r>
        <w:rPr>
          <w:rFonts w:ascii="Arial" w:cs="Arial" w:eastAsia="Arial" w:hAnsi="Arial"/>
          <w:color w:val="444444"/>
          <w:sz w:val="22"/>
          <w:szCs w:val="22"/>
        </w:rPr>
        <w:t xml:space="preserve">Geometric Memory Systems</w:t>
      </w:r>
    </w:p>
    <w:p>
      <w:pPr>
        <w:spacing w:before="0" w:after="80"/>
        <w:jc w:val="center"/>
      </w:pPr>
      <w:r>
        <w:rPr>
          <w:rFonts w:ascii="Arial" w:cs="Arial" w:eastAsia="Arial" w:hAnsi="Arial"/>
          <w:color w:val="444444"/>
          <w:sz w:val="22"/>
          <w:szCs w:val="22"/>
        </w:rPr>
        <w:t xml:space="preserve"/>
      </w:r>
    </w:p>
    <w:p>
      <w:pPr>
        <w:spacing w:before="0" w:after="480"/>
        <w:jc w:val="center"/>
      </w:pPr>
      <w:r>
        <w:rPr>
          <w:rFonts w:ascii="Arial" w:cs="Arial" w:eastAsia="Arial" w:hAnsi="Arial"/>
          <w:color w:val="444444"/>
          <w:sz w:val="22"/>
          <w:szCs w:val="22"/>
        </w:rPr>
        <w:t xml:space="preserve">March 18, 2026 | Provisional Draft</w:t>
      </w:r>
    </w:p>
    <w:p>
      <w:pPr>
        <w:spacing w:before="0" w:after="80"/>
        <w:jc w:val="center"/>
      </w:pPr>
      <w:r>
        <w:rPr>
          <w:rFonts w:ascii="Arial" w:cs="Arial" w:eastAsia="Arial" w:hAnsi="Arial"/>
          <w:b/>
          <w:bCs/>
          <w:color w:val="0B2342"/>
          <w:sz w:val="22"/>
          <w:szCs w:val="22"/>
        </w:rPr>
        <w:t xml:space="preserve">CO-OWNERS (25% each)</w:t>
      </w:r>
    </w:p>
    <w:p>
      <w:pPr>
        <w:spacing w:before="0" w:after="480"/>
        <w:jc w:val="center"/>
      </w:pPr>
      <w:r>
        <w:rPr>
          <w:rFonts w:ascii="Arial" w:cs="Arial" w:eastAsia="Arial" w:hAnsi="Arial"/>
          <w:color w:val="444444"/>
          <w:sz w:val="22"/>
          <w:szCs w:val="22"/>
        </w:rPr>
        <w:t xml:space="preserve">Attractor Dynamix Holdings  ·    ·    ·  </w:t>
      </w:r>
    </w:p>
    <w:p>
      <w:pPr>
        <w:spacing w:before="0" w:after="80"/>
        <w:jc w:val="center"/>
      </w:pPr>
      <w:r>
        <w:rPr>
          <w:rFonts w:ascii="Arial" w:cs="Arial" w:eastAsia="Arial" w:hAnsi="Arial"/>
          <w:b/>
          <w:bCs/>
          <w:color w:val="0B2342"/>
          <w:sz w:val="22"/>
          <w:szCs w:val="22"/>
        </w:rPr>
        <w:t xml:space="preserve">PATENT COUNSEL</w:t>
      </w:r>
    </w:p>
    <w:p>
      <w:pPr>
        <w:spacing w:before="0" w:after="240"/>
        <w:jc w:val="center"/>
      </w:pPr>
      <w:r>
        <w:rPr>
          <w:rFonts w:ascii="Arial" w:cs="Arial" w:eastAsia="Arial" w:hAnsi="Arial"/>
          <w:color w:val="444444"/>
          <w:sz w:val="22"/>
          <w:szCs w:val="22"/>
        </w:rPr>
        <w:t xml:space="preserve">Jim White, Partner — VLP Law Group LLP</w:t>
      </w:r>
    </w:p>
    <w:p>
      <w:pPr>
        <w:jc w:val="center"/>
      </w:pPr>
      <w:r>
        <w:rPr>
          <w:rFonts w:ascii="Arial" w:cs="Arial" w:eastAsia="Arial" w:hAnsi="Arial"/>
          <w:b/>
          <w:bCs/>
          <w:color w:val="CC0000"/>
          <w:sz w:val="20"/>
          <w:szCs w:val="20"/>
        </w:rPr>
        <w:t xml:space="preserve">CONFIDENTIAL — ATTORNEY-CLIENT PRIVILEGED</w:t>
      </w:r>
    </w:p>
    <w:p>
      <w:r>
        <w:br w:type="page"/>
      </w:r>
    </w:p>
    <w:p>
      <w:pPr>
        <w:shd w:fill="0B2342" w:val="clear"/>
        <w:spacing w:before="480" w:after="160"/>
        <w:ind w:left="240" w:right="240"/>
      </w:pPr>
      <w:r>
        <w:rPr>
          <w:rFonts w:ascii="Arial" w:cs="Arial" w:eastAsia="Arial" w:hAnsi="Arial"/>
          <w:b/>
          <w:bCs/>
          <w:color w:val="FFFFFF"/>
          <w:sz w:val="26"/>
          <w:szCs w:val="26"/>
        </w:rPr>
        <w:t xml:space="preserve">TITLE OF THE INVENTION</w:t>
      </w:r>
    </w:p>
    <w:p>
      <w:pPr>
        <w:spacing w:before="80" w:after="80"/>
      </w:pPr>
      <w:r>
        <w:rPr>
          <w:rFonts w:ascii="Arial" w:cs="Arial" w:eastAsia="Arial" w:hAnsi="Arial"/>
          <w:sz w:val="22"/>
          <w:szCs w:val="22"/>
        </w:rPr>
        <w:t xml:space="preserve">INCEPTION RULE: A FOUR-STEP GEOMETRIC MEMORY INGESTION PROTOCOL FOR SIMULTANEOUS TRINOMIAL PASCAL COORDINATE ASSIGNMENT, THREE-CORNER SEMANTIC CLASSIFICATION, TESSERACT FACE CODE ESTABLISHMENT, AND CHI-OPERATOR TEMPORAL WINDOW ACTUALIZATION IN A DIFFERENTIAL GEOMETRY MEMORY ARCHITECTURE.</w:t>
      </w:r>
    </w:p>
    <w:p>
      <w:pPr>
        <w:spacing w:before="60" w:after="60"/>
      </w:pPr>
      <w:r>
        <w:t xml:space="preserve"/>
      </w:r>
    </w:p>
    <w:p>
      <w:pPr>
        <w:shd w:fill="0B2342" w:val="clear"/>
        <w:spacing w:before="480" w:after="160"/>
        <w:ind w:left="240" w:right="240"/>
      </w:pPr>
      <w:r>
        <w:rPr>
          <w:rFonts w:ascii="Arial" w:cs="Arial" w:eastAsia="Arial" w:hAnsi="Arial"/>
          <w:b/>
          <w:bCs/>
          <w:color w:val="FFFFFF"/>
          <w:sz w:val="26"/>
          <w:szCs w:val="26"/>
        </w:rPr>
        <w:t xml:space="preserve">CROSS-REFERENCE TO RELATED APPLICATIONS</w:t>
      </w:r>
    </w:p>
    <w:p>
      <w:pPr>
        <w:spacing w:before="80" w:after="80"/>
      </w:pPr>
      <w:r>
        <w:rPr>
          <w:rFonts w:ascii="Arial" w:cs="Arial" w:eastAsia="Arial" w:hAnsi="Arial"/>
          <w:sz w:val="22"/>
          <w:szCs w:val="22"/>
        </w:rPr>
        <w:t xml:space="preserve">This application relates to Patent A (Geometric Memory Engine Core Architecture — differential geometry library, Pascal Pyramid coordinate system, Chi operator) and Patent C (Unified Memory System — Three Constant Presents temporal architecture). The Inception Rule is the process that bridges Patent A (the coordinate geometry and compression system) and Patent C (the temporal architecture) at the moment of memory ingestion. It constitutes a distinct invention — the formal ingestion protocol — separable from both the coordinate system it assigns and the temporal architecture it actuates.</w:t>
      </w:r>
    </w:p>
    <w:p>
      <w:pPr>
        <w:spacing w:before="60" w:after="60"/>
      </w:pPr>
      <w:r>
        <w:t xml:space="preserve"/>
      </w:r>
    </w:p>
    <w:p>
      <w:pPr>
        <w:shd w:fill="0B2342" w:val="clear"/>
        <w:spacing w:before="480" w:after="160"/>
        <w:ind w:left="240" w:right="240"/>
      </w:pPr>
      <w:r>
        <w:rPr>
          <w:rFonts w:ascii="Arial" w:cs="Arial" w:eastAsia="Arial" w:hAnsi="Arial"/>
          <w:b/>
          <w:bCs/>
          <w:color w:val="FFFFFF"/>
          <w:sz w:val="26"/>
          <w:szCs w:val="26"/>
        </w:rPr>
        <w:t xml:space="preserve">FIELD OF THE INVENTION</w:t>
      </w:r>
    </w:p>
    <w:p>
      <w:pPr>
        <w:spacing w:before="80" w:after="80"/>
      </w:pPr>
      <w:r>
        <w:rPr>
          <w:rFonts w:ascii="Arial" w:cs="Arial" w:eastAsia="Arial" w:hAnsi="Arial"/>
          <w:sz w:val="22"/>
          <w:szCs w:val="22"/>
        </w:rPr>
        <w:t xml:space="preserve">The present invention relates to artificial intelligence memory systems, specifically to the formal protocol by which raw information enters and is embedded into a geometric memory architecture. More particularly, it relates to a four-step ingestion protocol that simultaneously assigns geometric coordinates, performs semantic classification, establishes temporal window membership, and creates bounded information units within a differential geometry memory engine.</w:t>
      </w:r>
    </w:p>
    <w:p>
      <w:pPr>
        <w:spacing w:before="60" w:after="60"/>
      </w:pPr>
      <w:r>
        <w:t xml:space="preserve"/>
      </w:r>
    </w:p>
    <w:p>
      <w:pPr>
        <w:shd w:fill="0B2342" w:val="clear"/>
        <w:spacing w:before="480" w:after="160"/>
        <w:ind w:left="240" w:right="240"/>
      </w:pPr>
      <w:r>
        <w:rPr>
          <w:rFonts w:ascii="Arial" w:cs="Arial" w:eastAsia="Arial" w:hAnsi="Arial"/>
          <w:b/>
          <w:bCs/>
          <w:color w:val="FFFFFF"/>
          <w:sz w:val="26"/>
          <w:szCs w:val="26"/>
        </w:rPr>
        <w:t xml:space="preserve">BACKGROUND OF THE INVENTION</w:t>
      </w:r>
    </w:p>
    <w:p>
      <w:pPr>
        <w:pBdr>
          <w:bottom w:val="single" w:color="AABBCC" w:sz="4" w:space="4"/>
        </w:pBdr>
        <w:spacing w:before="300" w:after="100"/>
      </w:pPr>
      <w:r>
        <w:rPr>
          <w:rFonts w:ascii="Arial" w:cs="Arial" w:eastAsia="Arial" w:hAnsi="Arial"/>
          <w:b/>
          <w:bCs/>
          <w:color w:val="0B2342"/>
          <w:sz w:val="23"/>
          <w:szCs w:val="23"/>
        </w:rPr>
        <w:t xml:space="preserve">I. Technical Problem</w:t>
      </w:r>
    </w:p>
    <w:p>
      <w:pPr>
        <w:spacing w:before="80" w:after="80"/>
      </w:pPr>
      <w:r>
        <w:rPr>
          <w:rFonts w:ascii="Arial" w:cs="Arial" w:eastAsia="Arial" w:hAnsi="Arial"/>
          <w:sz w:val="22"/>
          <w:szCs w:val="22"/>
        </w:rPr>
        <w:t xml:space="preserve">Existing artificial intelligence memory systems perform memory ingestion as a single-step operation: raw content is converted to a vector embedding by a neural network encoder and stored in a flat database. This approach has the following fundamental limitations:</w:t>
      </w:r>
    </w:p>
    <w:p>
      <w:pPr>
        <w:spacing w:before="60" w:after="60"/>
        <w:ind w:left="720"/>
      </w:pPr>
      <w:r>
        <w:rPr>
          <w:rFonts w:ascii="Arial" w:cs="Arial" w:eastAsia="Arial" w:hAnsi="Arial"/>
          <w:sz w:val="22"/>
          <w:szCs w:val="22"/>
        </w:rPr>
        <w:t xml:space="preserve">(a) No staged geometric placement: there is no protocol for progressively resolving a memory from an unclassified state to a fully classified, geometrically embedded state through multiple distinct ontological stages.</w:t>
      </w:r>
    </w:p>
    <w:p>
      <w:pPr>
        <w:spacing w:before="60" w:after="60"/>
        <w:ind w:left="720"/>
      </w:pPr>
      <w:r>
        <w:rPr>
          <w:rFonts w:ascii="Arial" w:cs="Arial" w:eastAsia="Arial" w:hAnsi="Arial"/>
          <w:sz w:val="22"/>
          <w:szCs w:val="22"/>
        </w:rPr>
        <w:t xml:space="preserve">(b) No coordinate assignment at ingestion: existing systems do not assign hierarchical coordinate addresses to memories at the moment of ingestion. Coordinates (if any) are determined by embedding similarity alone, not by a formal structural protocol.</w:t>
      </w:r>
    </w:p>
    <w:p>
      <w:pPr>
        <w:spacing w:before="60" w:after="60"/>
        <w:ind w:left="720"/>
      </w:pPr>
      <w:r>
        <w:rPr>
          <w:rFonts w:ascii="Arial" w:cs="Arial" w:eastAsia="Arial" w:hAnsi="Arial"/>
          <w:sz w:val="22"/>
          <w:szCs w:val="22"/>
        </w:rPr>
        <w:t xml:space="preserve">(c) No semantic three-corner classification: no existing system formally classifies memories into a three-pole semantic space (theory, bridge, engineering) as a required step in the ingestion protocol.</w:t>
      </w:r>
    </w:p>
    <w:p>
      <w:pPr>
        <w:spacing w:before="60" w:after="60"/>
        <w:ind w:left="720"/>
      </w:pPr>
      <w:r>
        <w:rPr>
          <w:rFonts w:ascii="Arial" w:cs="Arial" w:eastAsia="Arial" w:hAnsi="Arial"/>
          <w:sz w:val="22"/>
          <w:szCs w:val="22"/>
        </w:rPr>
        <w:t xml:space="preserve">(d) No temporal window binding at ingestion: no existing system creates event-horizon-bounded temporal windows and assigns each memory to such a window as part of the ingestion process.</w:t>
      </w:r>
    </w:p>
    <w:p>
      <w:pPr>
        <w:spacing w:before="60" w:after="60"/>
        <w:ind w:left="720"/>
      </w:pPr>
      <w:r>
        <w:rPr>
          <w:rFonts w:ascii="Arial" w:cs="Arial" w:eastAsia="Arial" w:hAnsi="Arial"/>
          <w:sz w:val="22"/>
          <w:szCs w:val="22"/>
        </w:rPr>
        <w:t xml:space="preserve">(e) No dimensional accumulation: no existing system progressively adds one dimension of geometric definiteness at each step of ingestion (0D → 1D → 2D → 3D+), mapping the ingestion protocol onto the dimensional structure of a four-dimensional temporal container.</w:t>
      </w:r>
    </w:p>
    <w:p>
      <w:pPr>
        <w:spacing w:before="60" w:after="60"/>
      </w:pPr>
      <w:r>
        <w:t xml:space="preserve"/>
      </w:r>
    </w:p>
    <w:p>
      <w:pPr>
        <w:pBdr>
          <w:bottom w:val="single" w:color="AABBCC" w:sz="4" w:space="4"/>
        </w:pBdr>
        <w:spacing w:before="300" w:after="100"/>
      </w:pPr>
      <w:r>
        <w:rPr>
          <w:rFonts w:ascii="Arial" w:cs="Arial" w:eastAsia="Arial" w:hAnsi="Arial"/>
          <w:b/>
          <w:bCs/>
          <w:color w:val="0B2342"/>
          <w:sz w:val="23"/>
          <w:szCs w:val="23"/>
        </w:rPr>
        <w:t xml:space="preserve">II. Deficiencies of Prior 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AABBCC" w:sz="1"/>
              <w:left w:val="single" w:color="AABBCC" w:sz="1"/>
              <w:bottom w:val="single" w:color="AABBCC" w:sz="1"/>
              <w:right w:val="single" w:color="AABBCC" w:sz="1"/>
            </w:tcBorders>
            <w:shd w:fill="0B23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 Art</w:t>
            </w:r>
          </w:p>
        </w:tc>
        <w:tc>
          <w:tcPr>
            <w:tcW w:type="dxa" w:w="2340"/>
            <w:tcBorders>
              <w:top w:val="single" w:color="AABBCC" w:sz="1"/>
              <w:left w:val="single" w:color="AABBCC" w:sz="1"/>
              <w:bottom w:val="single" w:color="AABBCC" w:sz="1"/>
              <w:right w:val="single" w:color="AABBCC" w:sz="1"/>
            </w:tcBorders>
            <w:shd w:fill="0B23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Reference</w:t>
            </w:r>
          </w:p>
        </w:tc>
        <w:tc>
          <w:tcPr>
            <w:tcW w:type="dxa" w:w="4680"/>
            <w:tcBorders>
              <w:top w:val="single" w:color="AABBCC" w:sz="1"/>
              <w:left w:val="single" w:color="AABBCC" w:sz="1"/>
              <w:bottom w:val="single" w:color="AABBCC" w:sz="1"/>
              <w:right w:val="single" w:color="AABBCC" w:sz="1"/>
            </w:tcBorders>
            <w:shd w:fill="0B23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Deficiency re. Ingestion Protocol</w:t>
            </w:r>
          </w:p>
        </w:tc>
      </w:tr>
      <w:tr>
        <w:tc>
          <w:tcPr>
            <w:tcW w:type="dxa" w:w="2340"/>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BERT/GPT single-step embedding</w:t>
            </w:r>
          </w:p>
        </w:tc>
        <w:tc>
          <w:tcPr>
            <w:tcW w:type="dxa" w:w="2340"/>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Devlin et al. 2019; Brown et al. 2020</w:t>
            </w:r>
          </w:p>
        </w:tc>
        <w:tc>
          <w:tcPr>
            <w:tcW w:type="dxa" w:w="4680"/>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Single encode-and-store; no staged geometry; no coordinate assignment; no semantic three-corner classification; no temporal window creation</w:t>
            </w:r>
          </w:p>
        </w:tc>
      </w:tr>
      <w:tr>
        <w:tc>
          <w:tcPr>
            <w:tcW w:type="dxa" w:w="234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Episodic memory replay</w:t>
            </w:r>
          </w:p>
        </w:tc>
        <w:tc>
          <w:tcPr>
            <w:tcW w:type="dxa" w:w="234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Kumaran et al. 2016 (Nature Neuroscience)</w:t>
            </w:r>
          </w:p>
        </w:tc>
        <w:tc>
          <w:tcPr>
            <w:tcW w:type="dxa" w:w="468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Replay is post-hoc reorganization; no formal ingestion protocol; no coordinate assignment at moment of entry; no event horizon creation</w:t>
            </w:r>
          </w:p>
        </w:tc>
      </w:tr>
      <w:tr>
        <w:tc>
          <w:tcPr>
            <w:tcW w:type="dxa" w:w="2340"/>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Working memory models</w:t>
            </w:r>
          </w:p>
        </w:tc>
        <w:tc>
          <w:tcPr>
            <w:tcW w:type="dxa" w:w="2340"/>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Baddeley &amp; Hitch 1974; Cowan 2001</w:t>
            </w:r>
          </w:p>
        </w:tc>
        <w:tc>
          <w:tcPr>
            <w:tcW w:type="dxa" w:w="4680"/>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Cognitive architecture; no formal ingestion protocol; no geometric coordinate system; no temporal window bounding</w:t>
            </w:r>
          </w:p>
        </w:tc>
      </w:tr>
      <w:tr>
        <w:tc>
          <w:tcPr>
            <w:tcW w:type="dxa" w:w="234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Neural Turing Machine write head</w:t>
            </w:r>
          </w:p>
        </w:tc>
        <w:tc>
          <w:tcPr>
            <w:tcW w:type="dxa" w:w="234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Graves et al. 2014</w:t>
            </w:r>
          </w:p>
        </w:tc>
        <w:tc>
          <w:tcPr>
            <w:tcW w:type="dxa" w:w="468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Attention-weighted write to content-addressable memory; no staged protocol; no semantic classification; no hierarchical coordinates; no temporal window</w:t>
            </w:r>
          </w:p>
        </w:tc>
      </w:tr>
      <w:tr>
        <w:tc>
          <w:tcPr>
            <w:tcW w:type="dxa" w:w="2340"/>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Memory augmented neural networks</w:t>
            </w:r>
          </w:p>
        </w:tc>
        <w:tc>
          <w:tcPr>
            <w:tcW w:type="dxa" w:w="2340"/>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Santoro et al. 2016 (MANN)</w:t>
            </w:r>
          </w:p>
        </w:tc>
        <w:tc>
          <w:tcPr>
            <w:tcW w:type="dxa" w:w="4680"/>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External memory with key-value lookup; no staged ingestion protocol; no geometric manifold; no Pascal coordinates; no event horizons</w:t>
            </w:r>
          </w:p>
        </w:tc>
      </w:tr>
      <w:tr>
        <w:tc>
          <w:tcPr>
            <w:tcW w:type="dxa" w:w="234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Knowledge graph embedding</w:t>
            </w:r>
          </w:p>
        </w:tc>
        <w:tc>
          <w:tcPr>
            <w:tcW w:type="dxa" w:w="234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Bordes et al. 2013 (TransE)</w:t>
            </w:r>
          </w:p>
        </w:tc>
        <w:tc>
          <w:tcPr>
            <w:tcW w:type="dxa" w:w="468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Entity-relation embedding in flat space; no ingestion protocol stages; no temporal window bounding; no three-corner semantic classification</w:t>
            </w:r>
          </w:p>
        </w:tc>
      </w:tr>
    </w:tbl>
    <w:p>
      <w:pPr>
        <w:spacing w:before="60" w:after="60"/>
      </w:pPr>
      <w:r>
        <w:t xml:space="preserve"/>
      </w:r>
    </w:p>
    <w:p>
      <w:pPr>
        <w:shd w:fill="0B2342" w:val="clear"/>
        <w:spacing w:before="480" w:after="160"/>
        <w:ind w:left="240" w:right="240"/>
      </w:pPr>
      <w:r>
        <w:rPr>
          <w:rFonts w:ascii="Arial" w:cs="Arial" w:eastAsia="Arial" w:hAnsi="Arial"/>
          <w:b/>
          <w:bCs/>
          <w:color w:val="FFFFFF"/>
          <w:sz w:val="26"/>
          <w:szCs w:val="26"/>
        </w:rPr>
        <w:t xml:space="preserve">SUMMARY OF THE INVENTION</w:t>
      </w:r>
    </w:p>
    <w:p>
      <w:pPr>
        <w:spacing w:before="80" w:after="80"/>
      </w:pPr>
      <w:r>
        <w:rPr>
          <w:rFonts w:ascii="Arial" w:cs="Arial" w:eastAsia="Arial" w:hAnsi="Arial"/>
          <w:sz w:val="22"/>
          <w:szCs w:val="22"/>
        </w:rPr>
        <w:t xml:space="preserve">The Inception Rule is a formal four-step geometric memory ingestion protocol. Each step adds one dimension of geometric definiteness, one step of semantic resolution, and one stage of temporal window actualization. The four steps are:</w:t>
      </w:r>
    </w:p>
    <w:p>
      <w:pPr>
        <w:spacing w:before="60" w:after="60"/>
        <w:ind w:left="720"/>
      </w:pPr>
      <w:r>
        <w:rPr>
          <w:rFonts w:ascii="Arial" w:cs="Arial" w:eastAsia="Arial" w:hAnsi="Arial"/>
          <w:sz w:val="22"/>
          <w:szCs w:val="22"/>
        </w:rPr>
        <w:t xml:space="preserve">Step 1 — INITIATION: Memory registered at Pascal apex (0,0,0), Layer 0, 0-dimensional point. Placed at Poincaré ball center (radius=0) = maximum certainty, zero classification. The memory exists but has no address.</w:t>
      </w:r>
    </w:p>
    <w:p>
      <w:pPr>
        <w:spacing w:before="60" w:after="60"/>
        <w:ind w:left="720"/>
      </w:pPr>
      <w:r>
        <w:rPr>
          <w:rFonts w:ascii="Arial" w:cs="Arial" w:eastAsia="Arial" w:hAnsi="Arial"/>
          <w:sz w:val="22"/>
          <w:szCs w:val="22"/>
        </w:rPr>
        <w:t xml:space="preserve">Step 2 — RECEPTANCE: Memory receives its first classification into corner A (theory), O (bridge), or B (engineering). Pascal Layer 1 address assigned. The memory now has direction — 1-dimensional line in the coordinate space.</w:t>
      </w:r>
    </w:p>
    <w:p>
      <w:pPr>
        <w:spacing w:before="60" w:after="60"/>
        <w:ind w:left="720"/>
      </w:pPr>
      <w:r>
        <w:rPr>
          <w:rFonts w:ascii="Arial" w:cs="Arial" w:eastAsia="Arial" w:hAnsi="Arial"/>
          <w:sz w:val="22"/>
          <w:szCs w:val="22"/>
        </w:rPr>
        <w:t xml:space="preserve">Step 3 — ACCEPTANCE: Full Layer 2 edge address derived from Layer 1 corner. The six possible Layer 2 addresses are: AA (2,0,0), AO (1,1,0), OO (0,2,0), OB (0,1,1), BB (0,0,2), AB (1,0,1). Tesseract face code established — the memory now has a position in a plane. 2-dimensional.</w:t>
      </w:r>
    </w:p>
    <w:p>
      <w:pPr>
        <w:spacing w:before="60" w:after="60"/>
        <w:ind w:left="720"/>
      </w:pPr>
      <w:r>
        <w:rPr>
          <w:rFonts w:ascii="Arial" w:cs="Arial" w:eastAsia="Arial" w:hAnsi="Arial"/>
          <w:sz w:val="22"/>
          <w:szCs w:val="22"/>
        </w:rPr>
        <w:t xml:space="preserve">Step 4 — EMBEDDING: Full trinomial address (a,b,c) at Layer 3+ assigned. Pascal coefficient C(n;a,b,c) computed and stored. Chi-operator bounding applied: χ(W) = ∂W creates event horizons. Memory is actualized — it is real, addressed, bounded, weighted, and occupies volume in the geometry. 3-dimensional+.</w:t>
      </w:r>
    </w:p>
    <w:p>
      <w:pPr>
        <w:spacing w:before="60" w:after="60"/>
      </w:pPr>
      <w:r>
        <w:t xml:space="preserve"/>
      </w:r>
    </w:p>
    <w:p>
      <w:pPr>
        <w:shd w:fill="0B2342" w:val="clear"/>
        <w:spacing w:before="480" w:after="160"/>
        <w:ind w:left="240" w:right="240"/>
      </w:pPr>
      <w:r>
        <w:rPr>
          <w:rFonts w:ascii="Arial" w:cs="Arial" w:eastAsia="Arial" w:hAnsi="Arial"/>
          <w:b/>
          <w:bCs/>
          <w:color w:val="FFFFFF"/>
          <w:sz w:val="26"/>
          <w:szCs w:val="26"/>
        </w:rPr>
        <w:t xml:space="preserve">DETAILED DESCRIPTION OF THE INVENTION</w:t>
      </w:r>
    </w:p>
    <w:p>
      <w:pPr>
        <w:pBdr>
          <w:bottom w:val="single" w:color="AABBCC" w:sz="4" w:space="4"/>
        </w:pBdr>
        <w:spacing w:before="300" w:after="100"/>
      </w:pPr>
      <w:r>
        <w:rPr>
          <w:rFonts w:ascii="Arial" w:cs="Arial" w:eastAsia="Arial" w:hAnsi="Arial"/>
          <w:b/>
          <w:bCs/>
          <w:color w:val="0B2342"/>
          <w:sz w:val="23"/>
          <w:szCs w:val="23"/>
        </w:rPr>
        <w:t xml:space="preserve">I. The Dimensional Mapping — Why Four Steps</w:t>
      </w:r>
    </w:p>
    <w:p>
      <w:pPr>
        <w:spacing w:before="80" w:after="80"/>
      </w:pPr>
      <w:r>
        <w:rPr>
          <w:rFonts w:ascii="Arial" w:cs="Arial" w:eastAsia="Arial" w:hAnsi="Arial"/>
          <w:sz w:val="22"/>
          <w:szCs w:val="22"/>
        </w:rPr>
        <w:t xml:space="preserve">The four steps map to the four dimensional types of the tesseract container (f(4,k) = C(4,k)·2^(4-k)):</w:t>
      </w:r>
    </w:p>
    <w:p>
      <w:pPr>
        <w:spacing w:before="60" w:after="60"/>
      </w:pPr>
      <w:r>
        <w:t xml:space="preserve"/>
      </w:r>
    </w:p>
    <w:tbl>
      <w:tblPr>
        <w:tblW w:type="dxa" w:w="11232"/>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2808"/>
        <w:gridCol w:w="2808"/>
      </w:tblGrid>
      <w:tr>
        <w:tc>
          <w:tcPr>
            <w:tcW w:type="dxa" w:w="1872"/>
            <w:tcBorders>
              <w:top w:val="single" w:color="AABBCC" w:sz="1"/>
              <w:left w:val="single" w:color="AABBCC" w:sz="1"/>
              <w:bottom w:val="single" w:color="AABBCC" w:sz="1"/>
              <w:right w:val="single" w:color="AABBCC" w:sz="1"/>
            </w:tcBorders>
            <w:shd w:fill="0B23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w:t>
            </w:r>
          </w:p>
        </w:tc>
        <w:tc>
          <w:tcPr>
            <w:tcW w:type="dxa" w:w="1872"/>
            <w:tcBorders>
              <w:top w:val="single" w:color="AABBCC" w:sz="1"/>
              <w:left w:val="single" w:color="AABBCC" w:sz="1"/>
              <w:bottom w:val="single" w:color="AABBCC" w:sz="1"/>
              <w:right w:val="single" w:color="AABBCC" w:sz="1"/>
            </w:tcBorders>
            <w:shd w:fill="0B23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Pascal Layer</w:t>
            </w:r>
          </w:p>
        </w:tc>
        <w:tc>
          <w:tcPr>
            <w:tcW w:type="dxa" w:w="1872"/>
            <w:tcBorders>
              <w:top w:val="single" w:color="AABBCC" w:sz="1"/>
              <w:left w:val="single" w:color="AABBCC" w:sz="1"/>
              <w:bottom w:val="single" w:color="AABBCC" w:sz="1"/>
              <w:right w:val="single" w:color="AABBCC" w:sz="1"/>
            </w:tcBorders>
            <w:shd w:fill="0B23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Dimension Added</w:t>
            </w:r>
          </w:p>
        </w:tc>
        <w:tc>
          <w:tcPr>
            <w:tcW w:type="dxa" w:w="2808"/>
            <w:tcBorders>
              <w:top w:val="single" w:color="AABBCC" w:sz="1"/>
              <w:left w:val="single" w:color="AABBCC" w:sz="1"/>
              <w:bottom w:val="single" w:color="AABBCC" w:sz="1"/>
              <w:right w:val="single" w:color="AABBCC" w:sz="1"/>
            </w:tcBorders>
            <w:shd w:fill="0B23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Tesseract Element</w:t>
            </w:r>
          </w:p>
        </w:tc>
        <w:tc>
          <w:tcPr>
            <w:tcW w:type="dxa" w:w="2808"/>
            <w:tcBorders>
              <w:top w:val="single" w:color="AABBCC" w:sz="1"/>
              <w:left w:val="single" w:color="AABBCC" w:sz="1"/>
              <w:bottom w:val="single" w:color="AABBCC" w:sz="1"/>
              <w:right w:val="single" w:color="AABBCC" w:sz="1"/>
            </w:tcBorders>
            <w:shd w:fill="0B23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Becomes Definite</w:t>
            </w:r>
          </w:p>
        </w:tc>
      </w:tr>
      <w:tr>
        <w:tc>
          <w:tcPr>
            <w:tcW w:type="dxa" w:w="1872"/>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Initiation</w:t>
            </w:r>
          </w:p>
        </w:tc>
        <w:tc>
          <w:tcPr>
            <w:tcW w:type="dxa" w:w="1872"/>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0</w:t>
            </w:r>
          </w:p>
        </w:tc>
        <w:tc>
          <w:tcPr>
            <w:tcW w:type="dxa" w:w="1872"/>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0D — point</w:t>
            </w:r>
          </w:p>
        </w:tc>
        <w:tc>
          <w:tcPr>
            <w:tcW w:type="dxa" w:w="2808"/>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Vertices (16)</w:t>
            </w:r>
          </w:p>
        </w:tc>
        <w:tc>
          <w:tcPr>
            <w:tcW w:type="dxa" w:w="2808"/>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Existence — the memory is registered</w:t>
            </w:r>
          </w:p>
        </w:tc>
      </w:tr>
      <w:tr>
        <w:tc>
          <w:tcPr>
            <w:tcW w:type="dxa" w:w="1872"/>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Receptance</w:t>
            </w:r>
          </w:p>
        </w:tc>
        <w:tc>
          <w:tcPr>
            <w:tcW w:type="dxa" w:w="1872"/>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872"/>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1D — line</w:t>
            </w:r>
          </w:p>
        </w:tc>
        <w:tc>
          <w:tcPr>
            <w:tcW w:type="dxa" w:w="2808"/>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Edges (32)</w:t>
            </w:r>
          </w:p>
        </w:tc>
        <w:tc>
          <w:tcPr>
            <w:tcW w:type="dxa" w:w="2808"/>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Direction — corner A, O, or B</w:t>
            </w:r>
          </w:p>
        </w:tc>
      </w:tr>
      <w:tr>
        <w:tc>
          <w:tcPr>
            <w:tcW w:type="dxa" w:w="1872"/>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Acceptance</w:t>
            </w:r>
          </w:p>
        </w:tc>
        <w:tc>
          <w:tcPr>
            <w:tcW w:type="dxa" w:w="1872"/>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2</w:t>
            </w:r>
          </w:p>
        </w:tc>
        <w:tc>
          <w:tcPr>
            <w:tcW w:type="dxa" w:w="1872"/>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2D — face</w:t>
            </w:r>
          </w:p>
        </w:tc>
        <w:tc>
          <w:tcPr>
            <w:tcW w:type="dxa" w:w="2808"/>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Faces (24)</w:t>
            </w:r>
          </w:p>
        </w:tc>
        <w:tc>
          <w:tcPr>
            <w:tcW w:type="dxa" w:w="2808"/>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Position — cross-path address, face code</w:t>
            </w:r>
          </w:p>
        </w:tc>
      </w:tr>
      <w:tr>
        <w:tc>
          <w:tcPr>
            <w:tcW w:type="dxa" w:w="1872"/>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Embedding</w:t>
            </w:r>
          </w:p>
        </w:tc>
        <w:tc>
          <w:tcPr>
            <w:tcW w:type="dxa" w:w="1872"/>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872"/>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3D — volume</w:t>
            </w:r>
          </w:p>
        </w:tc>
        <w:tc>
          <w:tcPr>
            <w:tcW w:type="dxa" w:w="2808"/>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Cells (8)</w:t>
            </w:r>
          </w:p>
        </w:tc>
        <w:tc>
          <w:tcPr>
            <w:tcW w:type="dxa" w:w="2808"/>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Depth — full address with coefficient and bounds</w:t>
            </w:r>
          </w:p>
        </w:tc>
      </w:tr>
    </w:tbl>
    <w:p>
      <w:pPr>
        <w:spacing w:before="60" w:after="60"/>
      </w:pPr>
      <w:r>
        <w:t xml:space="preserve"/>
      </w:r>
    </w:p>
    <w:p>
      <w:pPr>
        <w:spacing w:before="80" w:after="80"/>
      </w:pPr>
      <w:r>
        <w:rPr>
          <w:rFonts w:ascii="Arial" w:cs="Arial" w:eastAsia="Arial" w:hAnsi="Arial"/>
          <w:sz w:val="22"/>
          <w:szCs w:val="22"/>
        </w:rPr>
        <w:t xml:space="preserve">This mapping is not arbitrary. A tesseract has exactly four types of dimensional elements (0D, 1D, 2D, 3D). The Inception Rule walks a memory through exactly these four dimensional types. By Embedding, the memory occupies a specific 3D cell within the 4D tesseract — it is fully placed in the four-dimensional temporal structure.</w:t>
      </w:r>
    </w:p>
    <w:p>
      <w:pPr>
        <w:spacing w:before="60" w:after="60"/>
      </w:pPr>
      <w:r>
        <w:t xml:space="preserve"/>
      </w:r>
    </w:p>
    <w:p>
      <w:pPr>
        <w:pBdr>
          <w:bottom w:val="single" w:color="AABBCC" w:sz="4" w:space="4"/>
        </w:pBdr>
        <w:spacing w:before="300" w:after="100"/>
      </w:pPr>
      <w:r>
        <w:rPr>
          <w:rFonts w:ascii="Arial" w:cs="Arial" w:eastAsia="Arial" w:hAnsi="Arial"/>
          <w:b/>
          <w:bCs/>
          <w:color w:val="0B2342"/>
          <w:sz w:val="23"/>
          <w:szCs w:val="23"/>
        </w:rPr>
        <w:t xml:space="preserve">II. The Ontological Dimension — Growing Block Universe Actualization</w:t>
      </w:r>
    </w:p>
    <w:p>
      <w:pPr>
        <w:spacing w:before="80" w:after="80"/>
      </w:pPr>
      <w:r>
        <w:rPr>
          <w:rFonts w:ascii="Arial" w:cs="Arial" w:eastAsia="Arial" w:hAnsi="Arial"/>
          <w:sz w:val="22"/>
          <w:szCs w:val="22"/>
        </w:rPr>
        <w:t xml:space="preserve">The four steps are not just a geometric protocol — they are an ontological protocol. Each step corresponds to how 'real' information becomes as it enters the system: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120"/>
        <w:gridCol w:w="4368"/>
      </w:tblGrid>
      <w:tr>
        <w:tc>
          <w:tcPr>
            <w:tcW w:type="dxa" w:w="1872"/>
            <w:tcBorders>
              <w:top w:val="single" w:color="AABBCC" w:sz="1"/>
              <w:left w:val="single" w:color="AABBCC" w:sz="1"/>
              <w:bottom w:val="single" w:color="AABBCC" w:sz="1"/>
              <w:right w:val="single" w:color="AABBCC" w:sz="1"/>
            </w:tcBorders>
            <w:shd w:fill="0B23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w:t>
            </w:r>
          </w:p>
        </w:tc>
        <w:tc>
          <w:tcPr>
            <w:tcW w:type="dxa" w:w="3120"/>
            <w:tcBorders>
              <w:top w:val="single" w:color="AABBCC" w:sz="1"/>
              <w:left w:val="single" w:color="AABBCC" w:sz="1"/>
              <w:bottom w:val="single" w:color="AABBCC" w:sz="1"/>
              <w:right w:val="single" w:color="AABBCC" w:sz="1"/>
            </w:tcBorders>
            <w:shd w:fill="0B23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Ontological State</w:t>
            </w:r>
          </w:p>
        </w:tc>
        <w:tc>
          <w:tcPr>
            <w:tcW w:type="dxa" w:w="4368"/>
            <w:tcBorders>
              <w:top w:val="single" w:color="AABBCC" w:sz="1"/>
              <w:left w:val="single" w:color="AABBCC" w:sz="1"/>
              <w:bottom w:val="single" w:color="AABBCC" w:sz="1"/>
              <w:right w:val="single" w:color="AABBCC" w:sz="1"/>
            </w:tcBorders>
            <w:shd w:fill="0B23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Block Universe Parallel</w:t>
            </w:r>
          </w:p>
        </w:tc>
      </w:tr>
      <w:tr>
        <w:tc>
          <w:tcPr>
            <w:tcW w:type="dxa" w:w="1872"/>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Initiation</w:t>
            </w:r>
          </w:p>
        </w:tc>
        <w:tc>
          <w:tcPr>
            <w:tcW w:type="dxa" w:w="3120"/>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Potential — exists but unresolved</w:t>
            </w:r>
          </w:p>
        </w:tc>
        <w:tc>
          <w:tcPr>
            <w:tcW w:type="dxa" w:w="4368"/>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All paths exist in BU — no path yet selected</w:t>
            </w:r>
          </w:p>
        </w:tc>
      </w:tr>
      <w:tr>
        <w:tc>
          <w:tcPr>
            <w:tcW w:type="dxa" w:w="1872"/>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Receptance</w:t>
            </w:r>
          </w:p>
        </w:tc>
        <w:tc>
          <w:tcPr>
            <w:tcW w:type="dxa" w:w="312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Received — first resolution</w:t>
            </w:r>
          </w:p>
        </w:tc>
        <w:tc>
          <w:tcPr>
            <w:tcW w:type="dxa" w:w="4368"/>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χ begins — first differentiation from infinite to three</w:t>
            </w:r>
          </w:p>
        </w:tc>
      </w:tr>
      <w:tr>
        <w:tc>
          <w:tcPr>
            <w:tcW w:type="dxa" w:w="1872"/>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Acceptance</w:t>
            </w:r>
          </w:p>
        </w:tc>
        <w:tc>
          <w:tcPr>
            <w:tcW w:type="dxa" w:w="3120"/>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Accepted — geometrically placed</w:t>
            </w:r>
          </w:p>
        </w:tc>
        <w:tc>
          <w:tcPr>
            <w:tcW w:type="dxa" w:w="4368"/>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χ selection narrows to one tesseract face</w:t>
            </w:r>
          </w:p>
        </w:tc>
      </w:tr>
      <w:tr>
        <w:tc>
          <w:tcPr>
            <w:tcW w:type="dxa" w:w="1872"/>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Embedding</w:t>
            </w:r>
          </w:p>
        </w:tc>
        <w:tc>
          <w:tcPr>
            <w:tcW w:type="dxa" w:w="312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Actualized — real, bounded, weighted</w:t>
            </w:r>
          </w:p>
        </w:tc>
        <w:tc>
          <w:tcPr>
            <w:tcW w:type="dxa" w:w="4368"/>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χ completes — one χ-bounded window is actualized, joins GBU</w:t>
            </w:r>
          </w:p>
        </w:tc>
      </w:tr>
    </w:tbl>
    <w:p>
      <w:pPr>
        <w:spacing w:before="60" w:after="60"/>
      </w:pPr>
      <w:r>
        <w:t xml:space="preserve"/>
      </w:r>
    </w:p>
    <w:p>
      <w:pPr>
        <w:spacing w:before="80" w:after="80"/>
      </w:pPr>
      <w:r>
        <w:rPr>
          <w:rFonts w:ascii="Arial" w:cs="Arial" w:eastAsia="Arial" w:hAnsi="Arial"/>
          <w:sz w:val="22"/>
          <w:szCs w:val="22"/>
        </w:rPr>
        <w:t xml:space="preserve">The Inception Rule is the mechanism of Growing Block Universe (GBU) actualization at the memory level. Each invocation of the full four-step protocol adds one more memory to the actualized GBU path. The four steps are the formal structure of how potential becomes real in this architecture.</w:t>
      </w:r>
    </w:p>
    <w:p>
      <w:pPr>
        <w:spacing w:before="60" w:after="60"/>
      </w:pPr>
      <w:r>
        <w:t xml:space="preserve"/>
      </w:r>
    </w:p>
    <w:p>
      <w:pPr>
        <w:pBdr>
          <w:bottom w:val="single" w:color="AABBCC" w:sz="4" w:space="4"/>
        </w:pBdr>
        <w:spacing w:before="300" w:after="100"/>
      </w:pPr>
      <w:r>
        <w:rPr>
          <w:rFonts w:ascii="Arial" w:cs="Arial" w:eastAsia="Arial" w:hAnsi="Arial"/>
          <w:b/>
          <w:bCs/>
          <w:color w:val="0B2342"/>
          <w:sz w:val="23"/>
          <w:szCs w:val="23"/>
        </w:rPr>
        <w:t xml:space="preserve">III. Corner Classification Rules</w:t>
      </w:r>
    </w:p>
    <w:p>
      <w:pPr>
        <w:spacing w:before="80" w:after="80"/>
      </w:pPr>
      <w:r>
        <w:rPr>
          <w:rFonts w:ascii="Arial" w:cs="Arial" w:eastAsia="Arial" w:hAnsi="Arial"/>
          <w:sz w:val="22"/>
          <w:szCs w:val="22"/>
        </w:rPr>
        <w:t xml:space="preserve">Classification into corners A, O, or B is performed during Step 2 (Receptance) according to the following rules:</w:t>
      </w:r>
    </w:p>
    <w:p>
      <w:pPr>
        <w:spacing w:before="60" w:after="60"/>
        <w:ind w:left="720"/>
      </w:pPr>
      <w:r>
        <w:rPr>
          <w:rFonts w:ascii="Arial" w:cs="Arial" w:eastAsia="Arial" w:hAnsi="Arial"/>
          <w:sz w:val="22"/>
          <w:szCs w:val="22"/>
        </w:rPr>
        <w:t xml:space="preserve">Corner A: conceptual, mathematical, structural, theoretical content; GBU/BU theory; geometric/mathematical framework; the 28 algorithm; content that describes how things are rather than how to build them.</w:t>
      </w:r>
    </w:p>
    <w:p>
      <w:pPr>
        <w:spacing w:before="60" w:after="60"/>
        <w:ind w:left="720"/>
      </w:pPr>
      <w:r>
        <w:rPr>
          <w:rFonts w:ascii="Arial" w:cs="Arial" w:eastAsia="Arial" w:hAnsi="Arial"/>
          <w:sz w:val="22"/>
          <w:szCs w:val="22"/>
        </w:rPr>
        <w:t xml:space="preserve">Corner B: code, implementation, technical specification, data, architecture, engineering outputs; content that describes how to build things.</w:t>
      </w:r>
    </w:p>
    <w:p>
      <w:pPr>
        <w:spacing w:before="60" w:after="60"/>
        <w:ind w:left="720"/>
      </w:pPr>
      <w:r>
        <w:rPr>
          <w:rFonts w:ascii="Arial" w:cs="Arial" w:eastAsia="Arial" w:hAnsi="Arial"/>
          <w:sz w:val="22"/>
          <w:szCs w:val="22"/>
        </w:rPr>
        <w:t xml:space="preserve">Corner O: cross-domain, relational, connective content; content containing elements of both A and B; bridge content; undetermined content. Default when uncertain.</w:t>
      </w:r>
    </w:p>
    <w:p>
      <w:pPr>
        <w:spacing w:before="80" w:after="80"/>
      </w:pPr>
      <w:r>
        <w:rPr>
          <w:rFonts w:ascii="Arial" w:cs="Arial" w:eastAsia="Arial" w:hAnsi="Arial"/>
          <w:sz w:val="22"/>
          <w:szCs w:val="22"/>
        </w:rPr>
        <w:t xml:space="preserve">The AB edge address (1,0,1) — where A-content directly connects to B-content — is the architecturally most significant Layer 2 address. It is the Rosetta Stone node: the position where theory and engineering prove they describe the same object.</w:t>
      </w:r>
    </w:p>
    <w:p>
      <w:pPr>
        <w:spacing w:before="60" w:after="60"/>
      </w:pPr>
      <w:r>
        <w:t xml:space="preserve"/>
      </w:r>
    </w:p>
    <w:p>
      <w:pPr>
        <w:pBdr>
          <w:bottom w:val="single" w:color="AABBCC" w:sz="4" w:space="4"/>
        </w:pBdr>
        <w:spacing w:before="300" w:after="100"/>
      </w:pPr>
      <w:r>
        <w:rPr>
          <w:rFonts w:ascii="Arial" w:cs="Arial" w:eastAsia="Arial" w:hAnsi="Arial"/>
          <w:b/>
          <w:bCs/>
          <w:color w:val="0B2342"/>
          <w:sz w:val="23"/>
          <w:szCs w:val="23"/>
        </w:rPr>
        <w:t xml:space="preserve">IV. Chi Bounding at Embedding</w:t>
      </w:r>
    </w:p>
    <w:p>
      <w:pPr>
        <w:spacing w:before="80" w:after="80"/>
      </w:pPr>
      <w:r>
        <w:rPr>
          <w:rFonts w:ascii="Arial" w:cs="Arial" w:eastAsia="Arial" w:hAnsi="Arial"/>
          <w:sz w:val="22"/>
          <w:szCs w:val="22"/>
        </w:rPr>
        <w:t xml:space="preserve">During Step 4 (Embedding), the chi-operator bounding creates the temporal window containing the memory. The operation:</w:t>
      </w:r>
    </w:p>
    <w:p>
      <w:pPr>
        <w:spacing w:before="60" w:after="60"/>
        <w:ind w:left="720"/>
      </w:pPr>
      <w:r>
        <w:rPr>
          <w:rFonts w:ascii="Arial" w:cs="Arial" w:eastAsia="Arial" w:hAnsi="Arial"/>
          <w:sz w:val="22"/>
          <w:szCs w:val="22"/>
        </w:rPr>
        <w:t xml:space="preserve">chi_operator.bound(window_id, pascal_address, content) → { window_id, address, horizons, compression_ratio }</w:t>
      </w:r>
    </w:p>
    <w:p>
      <w:pPr>
        <w:spacing w:before="80" w:after="80"/>
      </w:pPr>
      <w:r>
        <w:rPr>
          <w:rFonts w:ascii="Arial" w:cs="Arial" w:eastAsia="Arial" w:hAnsi="Arial"/>
          <w:sz w:val="22"/>
          <w:szCs w:val="22"/>
        </w:rPr>
        <w:t xml:space="preserve">The compression ratio at the assigned address is: ρ = C(n;a,b,c). Addresses near the apex (high-level, general concepts) have lower coefficients (ρ closer to 1) — they are nearly unique, rarely shared. Addresses near the centroid (balanced, frequent concepts) have exponentially high coefficients — they are highly shared, maximally compressed.</w:t>
      </w:r>
    </w:p>
    <w:p>
      <w:pPr>
        <w:spacing w:before="80" w:after="80"/>
      </w:pPr>
      <w:r>
        <w:rPr>
          <w:rFonts w:ascii="Arial" w:cs="Arial" w:eastAsia="Arial" w:hAnsi="Arial"/>
          <w:sz w:val="22"/>
          <w:szCs w:val="22"/>
        </w:rPr>
        <w:t xml:space="preserve">The event horizons ∂W are created at the four boundary conditions of the temporal window. Once created, they separate the memory's interior (accessible via direct retrieval) from the exterior (accessible only via χ⁻¹ cross-temporal routing using the face correlation matrix).</w:t>
      </w:r>
    </w:p>
    <w:p>
      <w:pPr>
        <w:spacing w:before="60" w:after="60"/>
      </w:pPr>
      <w:r>
        <w:t xml:space="preserve"/>
      </w:r>
    </w:p>
    <w:p>
      <w:pPr>
        <w:pBdr>
          <w:bottom w:val="single" w:color="AABBCC" w:sz="4" w:space="4"/>
        </w:pBdr>
        <w:spacing w:before="300" w:after="100"/>
      </w:pPr>
      <w:r>
        <w:rPr>
          <w:rFonts w:ascii="Arial" w:cs="Arial" w:eastAsia="Arial" w:hAnsi="Arial"/>
          <w:b/>
          <w:bCs/>
          <w:color w:val="0B2342"/>
          <w:sz w:val="23"/>
          <w:szCs w:val="23"/>
        </w:rPr>
        <w:t xml:space="preserve">V. The Expansion Protocol (Pyramid Inside Pyramid)</w:t>
      </w:r>
    </w:p>
    <w:p>
      <w:pPr>
        <w:spacing w:before="80" w:after="80"/>
      </w:pPr>
      <w:r>
        <w:rPr>
          <w:rFonts w:ascii="Arial" w:cs="Arial" w:eastAsia="Arial" w:hAnsi="Arial"/>
          <w:sz w:val="22"/>
          <w:szCs w:val="22"/>
        </w:rPr>
        <w:t xml:space="preserve">When any Pascal address accumulates ≥ expansion_threshold (default: 3) memory objects, that address becomes a sub-apex and spawns a child coordinate engine. The spawning operation:</w:t>
      </w:r>
    </w:p>
    <w:p>
      <w:pPr>
        <w:spacing w:before="60" w:after="60"/>
        <w:ind w:left="720"/>
      </w:pPr>
      <w:r>
        <w:rPr>
          <w:rFonts w:ascii="Arial" w:cs="Arial" w:eastAsia="Arial" w:hAnsi="Arial"/>
          <w:sz w:val="22"/>
          <w:szCs w:val="22"/>
        </w:rPr>
        <w:t xml:space="preserve">1. Parent address is registered in a depth registry as a sub-apex.</w:t>
      </w:r>
    </w:p>
    <w:p>
      <w:pPr>
        <w:spacing w:before="60" w:after="60"/>
        <w:ind w:left="720"/>
      </w:pPr>
      <w:r>
        <w:rPr>
          <w:rFonts w:ascii="Arial" w:cs="Arial" w:eastAsia="Arial" w:hAnsi="Arial"/>
          <w:sz w:val="22"/>
          <w:szCs w:val="22"/>
        </w:rPr>
        <w:t xml:space="preserve">2. Child PascalCoordinateEngine is created with corners derived from the parent address's semantic position.</w:t>
      </w:r>
    </w:p>
    <w:p>
      <w:pPr>
        <w:spacing w:before="60" w:after="60"/>
        <w:ind w:left="720"/>
      </w:pPr>
      <w:r>
        <w:rPr>
          <w:rFonts w:ascii="Arial" w:cs="Arial" w:eastAsia="Arial" w:hAnsi="Arial"/>
          <w:sz w:val="22"/>
          <w:szCs w:val="22"/>
        </w:rPr>
        <w:t xml:space="preserve">3. All memories at the parent address are re-classified in the child pyramid, gaining deeper addresses.</w:t>
      </w:r>
    </w:p>
    <w:p>
      <w:pPr>
        <w:spacing w:before="60" w:after="60"/>
        <w:ind w:left="720"/>
      </w:pPr>
      <w:r>
        <w:rPr>
          <w:rFonts w:ascii="Arial" w:cs="Arial" w:eastAsia="Arial" w:hAnsi="Arial"/>
          <w:sz w:val="22"/>
          <w:szCs w:val="22"/>
        </w:rPr>
        <w:t xml:space="preserve">4. Multi-level address format: (a,b,c).(a',b',c') — the level-1 address followed by the level-2 address, with 2n+2n' binary bits total.</w:t>
      </w:r>
    </w:p>
    <w:p>
      <w:pPr>
        <w:spacing w:before="60" w:after="60"/>
        <w:ind w:left="720"/>
      </w:pPr>
      <w:r>
        <w:rPr>
          <w:rFonts w:ascii="Arial" w:cs="Arial" w:eastAsia="Arial" w:hAnsi="Arial"/>
          <w:sz w:val="22"/>
          <w:szCs w:val="22"/>
        </w:rPr>
        <w:t xml:space="preserve">5. χ = 4 carries through unchanged — the child pyramid has the same choice architecture as the parent.</w:t>
      </w:r>
    </w:p>
    <w:p>
      <w:pPr>
        <w:spacing w:before="60" w:after="60"/>
      </w:pPr>
      <w:r>
        <w:t xml:space="preserve"/>
      </w:r>
    </w:p>
    <w:p>
      <w:pPr>
        <w:shd w:fill="0B2342" w:val="clear"/>
        <w:spacing w:before="480" w:after="160"/>
        <w:ind w:left="240" w:right="240"/>
      </w:pPr>
      <w:r>
        <w:rPr>
          <w:rFonts w:ascii="Arial" w:cs="Arial" w:eastAsia="Arial" w:hAnsi="Arial"/>
          <w:b/>
          <w:bCs/>
          <w:color w:val="FFFFFF"/>
          <w:sz w:val="26"/>
          <w:szCs w:val="26"/>
        </w:rPr>
        <w:t xml:space="preserve">CLAIMS</w:t>
      </w:r>
    </w:p>
    <w:p>
      <w:pPr>
        <w:pBdr>
          <w:bottom w:val="single" w:color="AABBCC" w:sz="4" w:space="4"/>
        </w:pBdr>
        <w:spacing w:before="300" w:after="100"/>
      </w:pPr>
      <w:r>
        <w:rPr>
          <w:rFonts w:ascii="Arial" w:cs="Arial" w:eastAsia="Arial" w:hAnsi="Arial"/>
          <w:b/>
          <w:bCs/>
          <w:color w:val="0B2342"/>
          <w:sz w:val="23"/>
          <w:szCs w:val="23"/>
        </w:rPr>
        <w:t xml:space="preserve">Group I — Four-Step Ingestion Protocol</w:t>
      </w:r>
    </w:p>
    <w:p>
      <w:pPr>
        <w:spacing w:before="120" w:after="120"/>
        <w:ind w:left="360" w:hanging="360"/>
      </w:pPr>
      <w:r>
        <w:rPr>
          <w:rFonts w:ascii="Arial" w:cs="Arial" w:eastAsia="Arial" w:hAnsi="Arial"/>
          <w:b/>
          <w:bCs/>
          <w:sz w:val="22"/>
          <w:szCs w:val="22"/>
        </w:rPr>
        <w:t xml:space="preserve">1. </w:t>
      </w:r>
      <w:r>
        <w:rPr>
          <w:rFonts w:ascii="Arial" w:cs="Arial" w:eastAsia="Arial" w:hAnsi="Arial"/>
          <w:sz w:val="22"/>
          <w:szCs w:val="22"/>
        </w:rPr>
        <w:t xml:space="preserve">A computer-implemented memory ingestion protocol for a geometric memory architecture comprising four sequential steps: (a) Initiation, in which a memory is registered at a zero-dimensional apex position in a coordinate system; (b) Receptance, in which said memory is classified into one of three semantic corners of a three-corner coordinate space and assigned a first-layer coordinate; (c) Acceptance, in which a second-layer coordinate is derived from said first-layer classification and a temporal face code is established; and (d) Embedding, in which said memory is assigned a full multi-dimensional coordinate address, a structural probability weight, and a temporal bounding operation is applied creating event horizons around the memory's temporal window.</w:t>
      </w:r>
    </w:p>
    <w:p>
      <w:pPr>
        <w:spacing w:before="60" w:after="60"/>
        <w:ind w:left="1080" w:hanging="360"/>
      </w:pPr>
      <w:r>
        <w:rPr>
          <w:rFonts w:ascii="Arial" w:cs="Arial" w:eastAsia="Arial" w:hAnsi="Arial"/>
          <w:b/>
          <w:bCs/>
          <w:sz w:val="22"/>
          <w:szCs w:val="22"/>
        </w:rPr>
        <w:t xml:space="preserve">2. </w:t>
      </w:r>
      <w:r>
        <w:rPr>
          <w:rFonts w:ascii="Arial" w:cs="Arial" w:eastAsia="Arial" w:hAnsi="Arial"/>
          <w:sz w:val="22"/>
          <w:szCs w:val="22"/>
        </w:rPr>
        <w:t xml:space="preserve">The protocol of claim 1, wherein said four sequential steps correspond to four dimensional types of a four-dimensional hypercube: step (a) corresponds to vertices (0-dimensional), step (b) corresponds to edges (1-dimensional), step (c) corresponds to faces (2-dimensional), and step (d) corresponds to cells (3-dimensional).</w:t>
      </w:r>
    </w:p>
    <w:p>
      <w:pPr>
        <w:spacing w:before="60" w:after="60"/>
        <w:ind w:left="1080" w:hanging="360"/>
      </w:pPr>
      <w:r>
        <w:rPr>
          <w:rFonts w:ascii="Arial" w:cs="Arial" w:eastAsia="Arial" w:hAnsi="Arial"/>
          <w:b/>
          <w:bCs/>
          <w:sz w:val="22"/>
          <w:szCs w:val="22"/>
        </w:rPr>
        <w:t xml:space="preserve">3. </w:t>
      </w:r>
      <w:r>
        <w:rPr>
          <w:rFonts w:ascii="Arial" w:cs="Arial" w:eastAsia="Arial" w:hAnsi="Arial"/>
          <w:sz w:val="22"/>
          <w:szCs w:val="22"/>
        </w:rPr>
        <w:t xml:space="preserve">The protocol of claim 1, wherein said four sequential steps constitute a Growing Block Universe actualization protocol, such that at step (a) a memory is potential, at step (b) it is received, at step (c) it is accepted, and at step (d) it is actualized as a real, bounded, weighted element of the growing block of actualized memories.</w:t>
      </w:r>
    </w:p>
    <w:p>
      <w:pPr>
        <w:pBdr>
          <w:bottom w:val="single" w:color="AABBCC" w:sz="4" w:space="4"/>
        </w:pBdr>
        <w:spacing w:before="300" w:after="100"/>
      </w:pPr>
      <w:r>
        <w:rPr>
          <w:rFonts w:ascii="Arial" w:cs="Arial" w:eastAsia="Arial" w:hAnsi="Arial"/>
          <w:b/>
          <w:bCs/>
          <w:color w:val="0B2342"/>
          <w:sz w:val="23"/>
          <w:szCs w:val="23"/>
        </w:rPr>
        <w:t xml:space="preserve">Group II — Pascal Coordinate Assignment at Ingestion</w:t>
      </w:r>
    </w:p>
    <w:p>
      <w:pPr>
        <w:spacing w:before="120" w:after="120"/>
        <w:ind w:left="360" w:hanging="360"/>
      </w:pPr>
      <w:r>
        <w:rPr>
          <w:rFonts w:ascii="Arial" w:cs="Arial" w:eastAsia="Arial" w:hAnsi="Arial"/>
          <w:b/>
          <w:bCs/>
          <w:sz w:val="22"/>
          <w:szCs w:val="22"/>
        </w:rPr>
        <w:t xml:space="preserve">4. </w:t>
      </w:r>
      <w:r>
        <w:rPr>
          <w:rFonts w:ascii="Arial" w:cs="Arial" w:eastAsia="Arial" w:hAnsi="Arial"/>
          <w:sz w:val="22"/>
          <w:szCs w:val="22"/>
        </w:rPr>
        <w:t xml:space="preserve">A computer-implemented memory ingestion method comprising: registering a memory at a Pascal Pyramid apex address (0,0,0) at Layer 0; classifying said memory into a three-corner semantic space to assign a Layer 1 Pascal address; deriving a Layer 2 Pascal edge address from said Layer 1 corner; and assigning a full trinomial Layer 3+ Pascal address (a,b,c) with structural probability weight C(n;a,b,c) = n!/(a!·b!·c!) at Layer n = a+b+c.</w:t>
      </w:r>
    </w:p>
    <w:p>
      <w:pPr>
        <w:spacing w:before="60" w:after="60"/>
        <w:ind w:left="1080" w:hanging="360"/>
      </w:pPr>
      <w:r>
        <w:rPr>
          <w:rFonts w:ascii="Arial" w:cs="Arial" w:eastAsia="Arial" w:hAnsi="Arial"/>
          <w:b/>
          <w:bCs/>
          <w:sz w:val="22"/>
          <w:szCs w:val="22"/>
        </w:rPr>
        <w:t xml:space="preserve">5. </w:t>
      </w:r>
      <w:r>
        <w:rPr>
          <w:rFonts w:ascii="Arial" w:cs="Arial" w:eastAsia="Arial" w:hAnsi="Arial"/>
          <w:sz w:val="22"/>
          <w:szCs w:val="22"/>
        </w:rPr>
        <w:t xml:space="preserve">The method of claim 4, wherein said Layer 2 edge addresses are: AA=(2,0,0) for purely theoretical content, BB=(0,0,2) for purely engineering content, OO=(0,2,0) for purely connective content, AO=(1,1,0) for theory with connective elements, OB=(0,1,1) for engineering with connective elements, and AB=(1,0,1) for content directly bridging theory and engineering.</w:t>
      </w:r>
    </w:p>
    <w:p>
      <w:pPr>
        <w:spacing w:before="60" w:after="60"/>
        <w:ind w:left="1080" w:hanging="360"/>
      </w:pPr>
      <w:r>
        <w:rPr>
          <w:rFonts w:ascii="Arial" w:cs="Arial" w:eastAsia="Arial" w:hAnsi="Arial"/>
          <w:b/>
          <w:bCs/>
          <w:sz w:val="22"/>
          <w:szCs w:val="22"/>
        </w:rPr>
        <w:t xml:space="preserve">6. </w:t>
      </w:r>
      <w:r>
        <w:rPr>
          <w:rFonts w:ascii="Arial" w:cs="Arial" w:eastAsia="Arial" w:hAnsi="Arial"/>
          <w:sz w:val="22"/>
          <w:szCs w:val="22"/>
        </w:rPr>
        <w:t xml:space="preserve">The method of claim 4, wherein when classification into the three-corner semantic space is uncertain, the memory is assigned by default to the bridge corner O, such that the bridge corner serves as the architectural home for any content that crosses domains.</w:t>
      </w:r>
    </w:p>
    <w:p>
      <w:pPr>
        <w:pBdr>
          <w:bottom w:val="single" w:color="AABBCC" w:sz="4" w:space="4"/>
        </w:pBdr>
        <w:spacing w:before="300" w:after="100"/>
      </w:pPr>
      <w:r>
        <w:rPr>
          <w:rFonts w:ascii="Arial" w:cs="Arial" w:eastAsia="Arial" w:hAnsi="Arial"/>
          <w:b/>
          <w:bCs/>
          <w:color w:val="0B2342"/>
          <w:sz w:val="23"/>
          <w:szCs w:val="23"/>
        </w:rPr>
        <w:t xml:space="preserve">Group III — Temporal Window Actualization</w:t>
      </w:r>
    </w:p>
    <w:p>
      <w:pPr>
        <w:spacing w:before="120" w:after="120"/>
        <w:ind w:left="360" w:hanging="360"/>
      </w:pPr>
      <w:r>
        <w:rPr>
          <w:rFonts w:ascii="Arial" w:cs="Arial" w:eastAsia="Arial" w:hAnsi="Arial"/>
          <w:b/>
          <w:bCs/>
          <w:sz w:val="22"/>
          <w:szCs w:val="22"/>
        </w:rPr>
        <w:t xml:space="preserve">7. </w:t>
      </w:r>
      <w:r>
        <w:rPr>
          <w:rFonts w:ascii="Arial" w:cs="Arial" w:eastAsia="Arial" w:hAnsi="Arial"/>
          <w:sz w:val="22"/>
          <w:szCs w:val="22"/>
        </w:rPr>
        <w:t xml:space="preserve">A computer-implemented memory ingestion method comprising: assigning a Pascal coordinate address to a memory during ingestion; applying a chi (χ) bounding operation to the memory at its assigned address; creating event horizons at the four boundary conditions of the resulting temporal window; storing a compression ratio equal to the Pascal coefficient of the address; and storing event horizon references enabling subsequent cross-temporal routing via χ⁻¹.</w:t>
      </w:r>
    </w:p>
    <w:p>
      <w:pPr>
        <w:spacing w:before="60" w:after="60"/>
        <w:ind w:left="1080" w:hanging="360"/>
      </w:pPr>
      <w:r>
        <w:rPr>
          <w:rFonts w:ascii="Arial" w:cs="Arial" w:eastAsia="Arial" w:hAnsi="Arial"/>
          <w:b/>
          <w:bCs/>
          <w:sz w:val="22"/>
          <w:szCs w:val="22"/>
        </w:rPr>
        <w:t xml:space="preserve">8. </w:t>
      </w:r>
      <w:r>
        <w:rPr>
          <w:rFonts w:ascii="Arial" w:cs="Arial" w:eastAsia="Arial" w:hAnsi="Arial"/>
          <w:sz w:val="22"/>
          <w:szCs w:val="22"/>
        </w:rPr>
        <w:t xml:space="preserve">The method of claim 7, wherein the temporal window is a chi-bounded region in a Block Universe set 𝔹 of all possible temporal windows, and the chi bounding operation implements the Axiom of Choice selection function to actualize the memory's temporal window from among all pre-existing windows in 𝔹.</w:t>
      </w:r>
    </w:p>
    <w:p>
      <w:pPr>
        <w:pBdr>
          <w:bottom w:val="single" w:color="AABBCC" w:sz="4" w:space="4"/>
        </w:pBdr>
        <w:spacing w:before="300" w:after="100"/>
      </w:pPr>
      <w:r>
        <w:rPr>
          <w:rFonts w:ascii="Arial" w:cs="Arial" w:eastAsia="Arial" w:hAnsi="Arial"/>
          <w:b/>
          <w:bCs/>
          <w:color w:val="0B2342"/>
          <w:sz w:val="23"/>
          <w:szCs w:val="23"/>
        </w:rPr>
        <w:t xml:space="preserve">Group IV — Pyramid Inside Pyramid Expansion</w:t>
      </w:r>
    </w:p>
    <w:p>
      <w:pPr>
        <w:spacing w:before="120" w:after="120"/>
        <w:ind w:left="360" w:hanging="360"/>
      </w:pPr>
      <w:r>
        <w:rPr>
          <w:rFonts w:ascii="Arial" w:cs="Arial" w:eastAsia="Arial" w:hAnsi="Arial"/>
          <w:b/>
          <w:bCs/>
          <w:sz w:val="22"/>
          <w:szCs w:val="22"/>
        </w:rPr>
        <w:t xml:space="preserve">9. </w:t>
      </w:r>
      <w:r>
        <w:rPr>
          <w:rFonts w:ascii="Arial" w:cs="Arial" w:eastAsia="Arial" w:hAnsi="Arial"/>
          <w:sz w:val="22"/>
          <w:szCs w:val="22"/>
        </w:rPr>
        <w:t xml:space="preserve">A computer-implemented memory coordinate expansion method comprising: monitoring a count of memories assigned to each Pascal address; when said count reaches or exceeds a threshold, spawning a child coordinate engine at said address; re-classifying memories from said address in the child coordinate engine; and extending the address of each re-classified memory with a child-level suffix, wherein the structural constant χ = 4 is identical in parent and child coordinate engines at all recursive depths.</w:t>
      </w:r>
    </w:p>
    <w:p>
      <w:pPr>
        <w:spacing w:before="60" w:after="60"/>
        <w:ind w:left="1080" w:hanging="360"/>
      </w:pPr>
      <w:r>
        <w:rPr>
          <w:rFonts w:ascii="Arial" w:cs="Arial" w:eastAsia="Arial" w:hAnsi="Arial"/>
          <w:b/>
          <w:bCs/>
          <w:sz w:val="22"/>
          <w:szCs w:val="22"/>
        </w:rPr>
        <w:t xml:space="preserve">10. </w:t>
      </w:r>
      <w:r>
        <w:rPr>
          <w:rFonts w:ascii="Arial" w:cs="Arial" w:eastAsia="Arial" w:hAnsi="Arial"/>
          <w:sz w:val="22"/>
          <w:szCs w:val="22"/>
        </w:rPr>
        <w:t xml:space="preserve">The method of claim 9, wherein the spawned child coordinate engine has corners derived from the semantic position of the parent address, such that sub-pyramids specialize semantically relative to their parent address.</w:t>
      </w:r>
    </w:p>
    <w:p>
      <w:pPr>
        <w:pBdr>
          <w:bottom w:val="single" w:color="AABBCC" w:sz="4" w:space="4"/>
        </w:pBdr>
        <w:spacing w:before="300" w:after="100"/>
      </w:pPr>
      <w:r>
        <w:rPr>
          <w:rFonts w:ascii="Arial" w:cs="Arial" w:eastAsia="Arial" w:hAnsi="Arial"/>
          <w:b/>
          <w:bCs/>
          <w:color w:val="0B2342"/>
          <w:sz w:val="23"/>
          <w:szCs w:val="23"/>
        </w:rPr>
        <w:t xml:space="preserve">Group V — Integration with Geometric Memory Engine</w:t>
      </w:r>
    </w:p>
    <w:p>
      <w:pPr>
        <w:spacing w:before="120" w:after="120"/>
        <w:ind w:left="360" w:hanging="360"/>
      </w:pPr>
      <w:r>
        <w:rPr>
          <w:rFonts w:ascii="Arial" w:cs="Arial" w:eastAsia="Arial" w:hAnsi="Arial"/>
          <w:b/>
          <w:bCs/>
          <w:sz w:val="22"/>
          <w:szCs w:val="22"/>
        </w:rPr>
        <w:t xml:space="preserve">11. </w:t>
      </w:r>
      <w:r>
        <w:rPr>
          <w:rFonts w:ascii="Arial" w:cs="Arial" w:eastAsia="Arial" w:hAnsi="Arial"/>
          <w:sz w:val="22"/>
          <w:szCs w:val="22"/>
        </w:rPr>
        <w:t xml:space="preserve">A computer-implemented memory ingestion system comprising: a Pascal Pyramid coordinate engine implementing trinomial addresses with structural probability weights; a chi (χ) operator implementing Axiom of Choice selection, temporal window bounding, and lossless compression; and an ingestion pipeline implementing a four-step protocol that sequentially invokes said coordinate engine and chi operator to transform an unclassified memory into a fully addressed, bounded, and weighted memory unit within a hyperbolic Poincaré ball embedding space.</w:t>
      </w:r>
    </w:p>
    <w:p>
      <w:pPr>
        <w:spacing w:before="60" w:after="60"/>
        <w:ind w:left="1080" w:hanging="360"/>
      </w:pPr>
      <w:r>
        <w:rPr>
          <w:rFonts w:ascii="Arial" w:cs="Arial" w:eastAsia="Arial" w:hAnsi="Arial"/>
          <w:b/>
          <w:bCs/>
          <w:sz w:val="22"/>
          <w:szCs w:val="22"/>
        </w:rPr>
        <w:t xml:space="preserve">12. </w:t>
      </w:r>
      <w:r>
        <w:rPr>
          <w:rFonts w:ascii="Arial" w:cs="Arial" w:eastAsia="Arial" w:hAnsi="Arial"/>
          <w:sz w:val="22"/>
          <w:szCs w:val="22"/>
        </w:rPr>
        <w:t xml:space="preserve">The system of claim 11, wherein said ingestion pipeline produces for each memory: a Pascal address (a,b,c) at layer n, a structural coefficient C(n;a,b,c), a chi window identifier, a compression ratio, a set of event horizons, a corner classification, and a tesseract face code.</w:t>
      </w:r>
    </w:p>
    <w:p>
      <w:pPr>
        <w:spacing w:before="60" w:after="60"/>
      </w:pPr>
      <w:r>
        <w:t xml:space="preserve"/>
      </w:r>
    </w:p>
    <w:p>
      <w:pPr>
        <w:shd w:fill="0B2342" w:val="clear"/>
        <w:spacing w:before="480" w:after="160"/>
        <w:ind w:left="240" w:right="240"/>
      </w:pPr>
      <w:r>
        <w:rPr>
          <w:rFonts w:ascii="Arial" w:cs="Arial" w:eastAsia="Arial" w:hAnsi="Arial"/>
          <w:b/>
          <w:bCs/>
          <w:color w:val="FFFFFF"/>
          <w:sz w:val="26"/>
          <w:szCs w:val="26"/>
        </w:rPr>
        <w:t xml:space="preserve">CLAIM COUNT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936"/>
        <w:gridCol w:w="3744"/>
        <w:gridCol w:w="1872"/>
      </w:tblGrid>
      <w:tr>
        <w:tc>
          <w:tcPr>
            <w:tcW w:type="dxa" w:w="2808"/>
            <w:tcBorders>
              <w:top w:val="single" w:color="AABBCC" w:sz="1"/>
              <w:left w:val="single" w:color="AABBCC" w:sz="1"/>
              <w:bottom w:val="single" w:color="AABBCC" w:sz="1"/>
              <w:right w:val="single" w:color="AABBCC" w:sz="1"/>
            </w:tcBorders>
            <w:shd w:fill="0B23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Claim Group</w:t>
            </w:r>
          </w:p>
        </w:tc>
        <w:tc>
          <w:tcPr>
            <w:tcW w:type="dxa" w:w="936"/>
            <w:tcBorders>
              <w:top w:val="single" w:color="AABBCC" w:sz="1"/>
              <w:left w:val="single" w:color="AABBCC" w:sz="1"/>
              <w:bottom w:val="single" w:color="AABBCC" w:sz="1"/>
              <w:right w:val="single" w:color="AABBCC" w:sz="1"/>
            </w:tcBorders>
            <w:shd w:fill="0B23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Claims</w:t>
            </w:r>
          </w:p>
        </w:tc>
        <w:tc>
          <w:tcPr>
            <w:tcW w:type="dxa" w:w="3744"/>
            <w:tcBorders>
              <w:top w:val="single" w:color="AABBCC" w:sz="1"/>
              <w:left w:val="single" w:color="AABBCC" w:sz="1"/>
              <w:bottom w:val="single" w:color="AABBCC" w:sz="1"/>
              <w:right w:val="single" w:color="AABBCC" w:sz="1"/>
            </w:tcBorders>
            <w:shd w:fill="0B23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Subject</w:t>
            </w:r>
          </w:p>
        </w:tc>
        <w:tc>
          <w:tcPr>
            <w:tcW w:type="dxa" w:w="1872"/>
            <w:tcBorders>
              <w:top w:val="single" w:color="AABBCC" w:sz="1"/>
              <w:left w:val="single" w:color="AABBCC" w:sz="1"/>
              <w:bottom w:val="single" w:color="AABBCC" w:sz="1"/>
              <w:right w:val="single" w:color="AABBCC" w:sz="1"/>
            </w:tcBorders>
            <w:shd w:fill="0B23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Independent?</w:t>
            </w:r>
          </w:p>
        </w:tc>
      </w:tr>
      <w:tr>
        <w:tc>
          <w:tcPr>
            <w:tcW w:type="dxa" w:w="2808"/>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Group I — Four-Step Protocol</w:t>
            </w:r>
          </w:p>
        </w:tc>
        <w:tc>
          <w:tcPr>
            <w:tcW w:type="dxa" w:w="936"/>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1–3</w:t>
            </w:r>
          </w:p>
        </w:tc>
        <w:tc>
          <w:tcPr>
            <w:tcW w:type="dxa" w:w="3744"/>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Core protocol, dimensional mapping, ontological staging</w:t>
            </w:r>
          </w:p>
        </w:tc>
        <w:tc>
          <w:tcPr>
            <w:tcW w:type="dxa" w:w="1872"/>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Claim 1</w:t>
            </w:r>
          </w:p>
        </w:tc>
      </w:tr>
      <w:tr>
        <w:tc>
          <w:tcPr>
            <w:tcW w:type="dxa" w:w="2808"/>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Group II — Pascal Assignment</w:t>
            </w:r>
          </w:p>
        </w:tc>
        <w:tc>
          <w:tcPr>
            <w:tcW w:type="dxa" w:w="936"/>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4–6</w:t>
            </w:r>
          </w:p>
        </w:tc>
        <w:tc>
          <w:tcPr>
            <w:tcW w:type="dxa" w:w="3744"/>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Coordinate assignment at ingestion, edge addresses, default corner</w:t>
            </w:r>
          </w:p>
        </w:tc>
        <w:tc>
          <w:tcPr>
            <w:tcW w:type="dxa" w:w="1872"/>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Claim 4</w:t>
            </w:r>
          </w:p>
        </w:tc>
      </w:tr>
      <w:tr>
        <w:tc>
          <w:tcPr>
            <w:tcW w:type="dxa" w:w="2808"/>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Group III — Temporal Actualization</w:t>
            </w:r>
          </w:p>
        </w:tc>
        <w:tc>
          <w:tcPr>
            <w:tcW w:type="dxa" w:w="936"/>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7–8</w:t>
            </w:r>
          </w:p>
        </w:tc>
        <w:tc>
          <w:tcPr>
            <w:tcW w:type="dxa" w:w="3744"/>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Event horizons, chi bounding, Block Universe actualization</w:t>
            </w:r>
          </w:p>
        </w:tc>
        <w:tc>
          <w:tcPr>
            <w:tcW w:type="dxa" w:w="1872"/>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Claim 7</w:t>
            </w:r>
          </w:p>
        </w:tc>
      </w:tr>
      <w:tr>
        <w:tc>
          <w:tcPr>
            <w:tcW w:type="dxa" w:w="2808"/>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Group IV — Expansion</w:t>
            </w:r>
          </w:p>
        </w:tc>
        <w:tc>
          <w:tcPr>
            <w:tcW w:type="dxa" w:w="936"/>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9–10</w:t>
            </w:r>
          </w:p>
        </w:tc>
        <w:tc>
          <w:tcPr>
            <w:tcW w:type="dxa" w:w="3744"/>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Pyramid spawning, semantic specialization, χ invariance</w:t>
            </w:r>
          </w:p>
        </w:tc>
        <w:tc>
          <w:tcPr>
            <w:tcW w:type="dxa" w:w="1872"/>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Claim 9</w:t>
            </w:r>
          </w:p>
        </w:tc>
      </w:tr>
      <w:tr>
        <w:tc>
          <w:tcPr>
            <w:tcW w:type="dxa" w:w="2808"/>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Group V — Integration</w:t>
            </w:r>
          </w:p>
        </w:tc>
        <w:tc>
          <w:tcPr>
            <w:tcW w:type="dxa" w:w="936"/>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11–12</w:t>
            </w:r>
          </w:p>
        </w:tc>
        <w:tc>
          <w:tcPr>
            <w:tcW w:type="dxa" w:w="3744"/>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Full system integration, per-memory output record</w:t>
            </w:r>
          </w:p>
        </w:tc>
        <w:tc>
          <w:tcPr>
            <w:tcW w:type="dxa" w:w="1872"/>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Claim 11</w:t>
            </w:r>
          </w:p>
        </w:tc>
      </w:tr>
      <w:tr>
        <w:tc>
          <w:tcPr>
            <w:tcW w:type="dxa" w:w="2808"/>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TOTAL</w:t>
            </w:r>
          </w:p>
        </w:tc>
        <w:tc>
          <w:tcPr>
            <w:tcW w:type="dxa" w:w="936"/>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12 claims</w:t>
            </w:r>
          </w:p>
        </w:tc>
        <w:tc>
          <w:tcPr>
            <w:tcW w:type="dxa" w:w="3744"/>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5 independent</w:t>
            </w:r>
          </w:p>
        </w:tc>
      </w:tr>
    </w:tbl>
    <w:p>
      <w:pPr>
        <w:spacing w:before="60" w:after="60"/>
      </w:pPr>
      <w:r>
        <w:t xml:space="preserve"/>
      </w:r>
    </w:p>
    <w:p>
      <w:pPr>
        <w:shd w:fill="0B2342" w:val="clear"/>
        <w:spacing w:before="480" w:after="160"/>
        <w:ind w:left="240" w:right="240"/>
      </w:pPr>
      <w:r>
        <w:rPr>
          <w:rFonts w:ascii="Arial" w:cs="Arial" w:eastAsia="Arial" w:hAnsi="Arial"/>
          <w:b/>
          <w:bCs/>
          <w:color w:val="FFFFFF"/>
          <w:sz w:val="26"/>
          <w:szCs w:val="26"/>
        </w:rPr>
        <w:t xml:space="preserve">CONTINUATION / DIVISIONAL STRATEGY</w:t>
      </w:r>
    </w:p>
    <w:p>
      <w:pPr>
        <w:spacing w:before="80" w:after="80"/>
      </w:pPr>
      <w:r>
        <w:rPr>
          <w:rFonts w:ascii="Arial" w:cs="Arial" w:eastAsia="Arial" w:hAnsi="Arial"/>
          <w:sz w:val="22"/>
          <w:szCs w:val="22"/>
        </w:rPr>
        <w:t xml:space="preserve">Continuation B-1: The four-step staged ingestion protocol alone — broader claims covering any multi-step ingestion protocol that progressively assigns coordinates and creates temporal windows, without the specific Pascal or chi context. Captures the staged geometric ingestion genus broadly.</w:t>
      </w:r>
    </w:p>
    <w:p>
      <w:pPr>
        <w:spacing w:before="80" w:after="80"/>
      </w:pPr>
      <w:r>
        <w:rPr>
          <w:rFonts w:ascii="Arial" w:cs="Arial" w:eastAsia="Arial" w:hAnsi="Arial"/>
          <w:sz w:val="22"/>
          <w:szCs w:val="22"/>
        </w:rPr>
        <w:t xml:space="preserve">Continuation B-2: The ontological staging property alone — claims covering any ingestion protocol that maps memory from potential → received → accepted → actualized states, modeled on Growing Block Universe ontology.</w:t>
      </w:r>
    </w:p>
    <w:p>
      <w:pPr>
        <w:spacing w:before="80" w:after="80"/>
      </w:pPr>
      <w:r>
        <w:rPr>
          <w:rFonts w:ascii="Arial" w:cs="Arial" w:eastAsia="Arial" w:hAnsi="Arial"/>
          <w:sz w:val="22"/>
          <w:szCs w:val="22"/>
        </w:rPr>
        <w:t xml:space="preserve">Note: Patent B depends on Patent A (coordinate system and chi operator must exist for the protocol to operate). The Inception Rule is separable as a distinct invention because the four-step protocol is independently valuable — it could apply to any coordinate system, not only the Pascal Pyramid.</w:t>
      </w:r>
    </w:p>
    <w:p>
      <w:pPr>
        <w:spacing w:before="60" w:after="60"/>
      </w:pPr>
      <w:r>
        <w:t xml:space="preserve"/>
      </w:r>
    </w:p>
    <w:p>
      <w:pPr>
        <w:shd w:fill="0B2342" w:val="clear"/>
        <w:spacing w:before="480" w:after="160"/>
        <w:ind w:left="240" w:right="240"/>
      </w:pPr>
      <w:r>
        <w:rPr>
          <w:rFonts w:ascii="Arial" w:cs="Arial" w:eastAsia="Arial" w:hAnsi="Arial"/>
          <w:b/>
          <w:bCs/>
          <w:color w:val="FFFFFF"/>
          <w:sz w:val="26"/>
          <w:szCs w:val="26"/>
        </w:rPr>
        <w:t xml:space="preserve">ABSTRACT</w:t>
      </w:r>
    </w:p>
    <w:p>
      <w:pPr>
        <w:spacing w:before="80" w:after="80"/>
      </w:pPr>
      <w:r>
        <w:rPr>
          <w:rFonts w:ascii="Arial" w:cs="Arial" w:eastAsia="Arial" w:hAnsi="Arial"/>
          <w:sz w:val="22"/>
          <w:szCs w:val="22"/>
        </w:rPr>
        <w:t xml:space="preserve">A four-step geometric memory ingestion protocol (the Inception Rule) for artificial intelligence memory systems comprising: (1) Initiation, registering a memory at the zero-dimensional apex of a Pascal Pyramid coordinate system; (2) Receptance, classifying the memory into a three-corner semantic space (theory/bridge/engineering) and assigning a first-layer coordinate; (3) Acceptance, deriving a second-layer edge address and establishing a tesseract face code; and (4) Embedding, assigning a full trinomial coordinate address with pre-deterministic structural probability weight C(n;a,b,c) = n!/(a!·b!·c!) and applying chi-operator temporal window bounding with event horizon creation. The four steps correspond to the four dimensional types of a four-dimensional temporal container (0D vertices, 1D edges, 2D faces, 3D cells). The protocol constitutes a Growing Block Universe actualization mechanism — each invocation transforms a potential memory into an actualized, addressed, bounded, and weighted element of the geometric memory architecture.</w:t>
      </w:r>
    </w:p>
    <w:p>
      <w:r>
        <w:br w:type="pag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BBCC" w:sz="4"/>
      </w:pBdr>
    </w:pPr>
    <w:r>
      <w:rPr>
        <w:rFonts w:ascii="Arial" w:cs="Arial" w:eastAsia="Arial" w:hAnsi="Arial"/>
        <w:color w:val="888888"/>
        <w:sz w:val="18"/>
        <w:szCs w:val="18"/>
      </w:rPr>
      <w:t xml:space="preserve">CONFIDENTIAL — PATENT DRAFT — Geometric Memory Systems / Trinary Space LLC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BBCC" w:sz="4"/>
      </w:pBdr>
    </w:pPr>
    <w:r>
      <w:rPr>
        <w:rFonts w:ascii="Arial" w:cs="Arial" w:eastAsia="Arial" w:hAnsi="Arial"/>
        <w:color w:val="888888"/>
        <w:sz w:val="18"/>
        <w:szCs w:val="18"/>
      </w:rPr>
      <w:t xml:space="preserve">PATENT B — Inception Rule Ingestion Protocol | Provisional Draft | Trinary Space LLC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FFFFFF"/>
      <w:sz w:val="28"/>
      <w:szCs w:val="28"/>
    </w:rPr>
  </w:style>
  <w:style w:type="paragraph" w:styleId="Heading2">
    <w:name w:val="Heading 2"/>
    <w:basedOn w:val="Normal"/>
    <w:next w:val="Normal"/>
    <w:qFormat/>
    <w:pPr>
      <w:spacing w:before="300" w:after="100"/>
      <w:outlineLvl w:val="1"/>
    </w:pPr>
    <w:rPr>
      <w:rFonts w:ascii="Arial" w:cs="Arial" w:eastAsia="Arial" w:hAnsi="Arial"/>
      <w:b/>
      <w:bCs/>
      <w:color w:val="0B2342"/>
      <w:sz w:val="24"/>
      <w:szCs w:val="24"/>
    </w:rPr>
  </w:style>
  <w:style w:type="paragraph" w:styleId="Heading3">
    <w:name w:val="Heading 3"/>
    <w:basedOn w:val="Normal"/>
    <w:next w:val="Normal"/>
    <w:qFormat/>
    <w:pPr>
      <w:spacing w:before="200" w:after="60"/>
      <w:outlineLvl w:val="2"/>
    </w:pPr>
    <w:rPr>
      <w:rFonts w:ascii="Arial" w:cs="Arial" w:eastAsia="Arial" w:hAnsi="Arial"/>
      <w:b/>
      <w:bCs/>
      <w:color w:val="1A3F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2026-03-14T16:53:50.385Z</dcterms:created>
  <dcterms:modified xsi:type="dcterms:W3CDTF">2026-03-14T16:53:50.385Z</dcterms:modified>
</cp:coreProperties>
</file>

<file path=docProps/custom.xml><?xml version="1.0" encoding="utf-8"?>
<Properties xmlns="http://schemas.openxmlformats.org/officeDocument/2006/custom-properties" xmlns:vt="http://schemas.openxmlformats.org/officeDocument/2006/docPropsVTypes"/>
</file>