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63EE">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2137"/>
            <w:tcMar>
              <w:top w:w="180" w:type="dxa"/>
              <w:left w:w="240" w:type="dxa"/>
              <w:bottom w:w="180" w:type="dxa"/>
              <w:right w:w="240" w:type="dxa"/>
            </w:tcMar>
          </w:tcPr>
          <w:p w:rsidR="002163EE" w:rsidRDefault="00000000">
            <w:pPr>
              <w:spacing w:after="60"/>
            </w:pPr>
            <w:r>
              <w:rPr>
                <w:b/>
                <w:bCs/>
                <w:color w:val="C9A84C"/>
                <w:sz w:val="16"/>
                <w:szCs w:val="16"/>
              </w:rPr>
              <w:t>CLARIFICATION NOTE — GMS/GME Architecture</w:t>
            </w:r>
          </w:p>
          <w:p w:rsidR="002163EE" w:rsidRDefault="00000000">
            <w:pPr>
              <w:spacing w:after="80"/>
            </w:pPr>
            <w:r>
              <w:rPr>
                <w:b/>
                <w:bCs/>
                <w:color w:val="FFFFFF"/>
                <w:sz w:val="34"/>
                <w:szCs w:val="34"/>
              </w:rPr>
              <w:t>Pascal Addressing IS the Metadata System — It Was Always That Way</w:t>
            </w:r>
          </w:p>
          <w:p w:rsidR="002163EE" w:rsidRDefault="00000000">
            <w:r>
              <w:rPr>
                <w:color w:val="AABBCC"/>
                <w:sz w:val="18"/>
                <w:szCs w:val="18"/>
              </w:rPr>
              <w:t>For: Matthew T. Foster, Todd Nelson, Jeremiah F. Jeschke   |   March 16, 2026</w:t>
            </w:r>
          </w:p>
        </w:tc>
      </w:tr>
    </w:tbl>
    <w:p w:rsidR="002163EE" w:rsidRDefault="002163EE">
      <w:pPr>
        <w:spacing w:after="240"/>
      </w:pPr>
    </w:p>
    <w:p w:rsidR="002163EE" w:rsidRDefault="00000000">
      <w:pPr>
        <w:pBdr>
          <w:bottom w:val="single" w:sz="6" w:space="4" w:color="C9A84C"/>
        </w:pBdr>
        <w:spacing w:before="280" w:after="100"/>
      </w:pPr>
      <w:r>
        <w:rPr>
          <w:b/>
          <w:bCs/>
          <w:color w:val="0D2137"/>
          <w:sz w:val="30"/>
          <w:szCs w:val="30"/>
        </w:rPr>
        <w:t>The Point Being Made</w:t>
      </w:r>
    </w:p>
    <w:p w:rsidR="002163EE" w:rsidRDefault="00000000">
      <w:pPr>
        <w:spacing w:after="120"/>
      </w:pPr>
      <w:r>
        <w:rPr>
          <w:color w:val="222222"/>
        </w:rPr>
        <w:t>This is a short but important clarification that will help Jeremiah — and everyone — think about the architecture more clearly. The question of metadata tagging has come up in the context of Jeremiah's implementation work</w:t>
      </w:r>
      <w:r w:rsidR="0019702F">
        <w:rPr>
          <w:color w:val="222222"/>
        </w:rPr>
        <w:t xml:space="preserve"> and our group discussions</w:t>
      </w:r>
      <w:r>
        <w:rPr>
          <w:color w:val="222222"/>
        </w:rPr>
        <w:t>. This note explains why it is not a separate problem.</w:t>
      </w:r>
    </w:p>
    <w:p w:rsidR="002163EE" w:rsidRDefault="002163E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63EE">
        <w:tblPrEx>
          <w:tblCellMar>
            <w:top w:w="0" w:type="dxa"/>
            <w:bottom w:w="0" w:type="dxa"/>
          </w:tblCellMar>
        </w:tblPrEx>
        <w:tc>
          <w:tcPr>
            <w:tcW w:w="9360" w:type="dxa"/>
            <w:tcBorders>
              <w:top w:val="none" w:sz="0" w:space="0" w:color="FFFFFF"/>
              <w:left w:val="single" w:sz="20" w:space="0" w:color="C9A84C"/>
              <w:bottom w:val="none" w:sz="0" w:space="0" w:color="FFFFFF"/>
              <w:right w:val="none" w:sz="0" w:space="0" w:color="FFFFFF"/>
            </w:tcBorders>
            <w:shd w:val="clear" w:color="auto" w:fill="FEF9EE"/>
            <w:tcMar>
              <w:top w:w="120" w:type="dxa"/>
              <w:left w:w="200" w:type="dxa"/>
              <w:bottom w:w="120" w:type="dxa"/>
              <w:right w:w="120" w:type="dxa"/>
            </w:tcMar>
          </w:tcPr>
          <w:p w:rsidR="002163EE" w:rsidRDefault="00000000">
            <w:pPr>
              <w:spacing w:after="80"/>
            </w:pPr>
            <w:r>
              <w:rPr>
                <w:b/>
                <w:bCs/>
                <w:color w:val="0D2137"/>
              </w:rPr>
              <w:t>The short version:</w:t>
            </w:r>
          </w:p>
          <w:p w:rsidR="002163EE" w:rsidRDefault="00000000">
            <w:r>
              <w:rPr>
                <w:color w:val="222222"/>
              </w:rPr>
              <w:t>In the GME/GMS architecture, you do not tag a memory with metadata after the fact. The Pascal address assigned at ingestion IS the metadata. The address and the metadata are the same thing — they were designed that way from the beginning, and the χ operator was tied to this from the start.</w:t>
            </w:r>
          </w:p>
        </w:tc>
      </w:tr>
    </w:tbl>
    <w:p w:rsidR="002163EE" w:rsidRDefault="002163EE">
      <w:pPr>
        <w:spacing w:after="160"/>
      </w:pPr>
    </w:p>
    <w:p w:rsidR="002163EE" w:rsidRDefault="00000000">
      <w:pPr>
        <w:pBdr>
          <w:bottom w:val="single" w:sz="6" w:space="4" w:color="C9A84C"/>
        </w:pBdr>
        <w:spacing w:before="280" w:after="100"/>
      </w:pPr>
      <w:r>
        <w:rPr>
          <w:b/>
          <w:bCs/>
          <w:color w:val="0D2137"/>
          <w:sz w:val="30"/>
          <w:szCs w:val="30"/>
        </w:rPr>
        <w:t>How It Works — What the Pascal Address Contains</w:t>
      </w:r>
    </w:p>
    <w:p w:rsidR="002163EE" w:rsidRDefault="00000000">
      <w:pPr>
        <w:spacing w:after="120"/>
      </w:pPr>
      <w:r>
        <w:rPr>
          <w:color w:val="222222"/>
        </w:rPr>
        <w:t>Every memory in the GME receives a Pascal address (a, b, c) at the moment it enters the system — at ingestion, not at retrieval. That address is not just a location tag. It encodes multiple layers of information simultaneously: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163EE">
        <w:tblPrEx>
          <w:tblCellMar>
            <w:top w:w="0" w:type="dxa"/>
            <w:bottom w:w="0" w:type="dxa"/>
          </w:tblCellMar>
        </w:tblPrEx>
        <w:tc>
          <w:tcPr>
            <w:tcW w:w="3000" w:type="dxa"/>
            <w:tcBorders>
              <w:top w:val="single" w:sz="4" w:space="0" w:color="D0D7DE"/>
              <w:left w:val="single" w:sz="4" w:space="0" w:color="D0D7DE"/>
              <w:bottom w:val="single" w:sz="4" w:space="0" w:color="D0D7DE"/>
              <w:right w:val="single" w:sz="4" w:space="0" w:color="D0D7DE"/>
            </w:tcBorders>
            <w:shd w:val="clear" w:color="auto" w:fill="0D2137"/>
            <w:tcMar>
              <w:top w:w="80" w:type="dxa"/>
              <w:left w:w="120" w:type="dxa"/>
              <w:bottom w:w="80" w:type="dxa"/>
              <w:right w:w="120" w:type="dxa"/>
            </w:tcMar>
          </w:tcPr>
          <w:p w:rsidR="002163EE" w:rsidRDefault="00000000">
            <w:r>
              <w:rPr>
                <w:b/>
                <w:bCs/>
                <w:color w:val="FFFFFF"/>
                <w:sz w:val="20"/>
                <w:szCs w:val="20"/>
              </w:rPr>
              <w:t>What the Address Encodes</w:t>
            </w:r>
          </w:p>
        </w:tc>
        <w:tc>
          <w:tcPr>
            <w:tcW w:w="6360" w:type="dxa"/>
            <w:tcBorders>
              <w:top w:val="single" w:sz="4" w:space="0" w:color="D0D7DE"/>
              <w:left w:val="single" w:sz="4" w:space="0" w:color="D0D7DE"/>
              <w:bottom w:val="single" w:sz="4" w:space="0" w:color="D0D7DE"/>
              <w:right w:val="single" w:sz="4" w:space="0" w:color="D0D7DE"/>
            </w:tcBorders>
            <w:shd w:val="clear" w:color="auto" w:fill="0D2137"/>
            <w:tcMar>
              <w:top w:w="80" w:type="dxa"/>
              <w:left w:w="120" w:type="dxa"/>
              <w:bottom w:w="80" w:type="dxa"/>
              <w:right w:w="120" w:type="dxa"/>
            </w:tcMar>
          </w:tcPr>
          <w:p w:rsidR="002163EE" w:rsidRDefault="00000000">
            <w:r>
              <w:rPr>
                <w:b/>
                <w:bCs/>
                <w:color w:val="FFFFFF"/>
                <w:sz w:val="20"/>
                <w:szCs w:val="20"/>
              </w:rPr>
              <w:t>What That Means as Metadata</w:t>
            </w:r>
          </w:p>
        </w:tc>
      </w:tr>
      <w:tr w:rsidR="002163EE">
        <w:tblPrEx>
          <w:tblCellMar>
            <w:top w:w="0" w:type="dxa"/>
            <w:bottom w:w="0" w:type="dxa"/>
          </w:tblCellMar>
        </w:tblPrEx>
        <w:tc>
          <w:tcPr>
            <w:tcW w:w="3000" w:type="dxa"/>
            <w:tcBorders>
              <w:top w:val="single" w:sz="4" w:space="0" w:color="D0D7DE"/>
              <w:left w:val="single" w:sz="4" w:space="0" w:color="D0D7DE"/>
              <w:bottom w:val="single" w:sz="4" w:space="0" w:color="D0D7DE"/>
              <w:right w:val="single" w:sz="4" w:space="0" w:color="D0D7DE"/>
            </w:tcBorders>
            <w:shd w:val="clear" w:color="auto" w:fill="EBF5FB"/>
            <w:tcMar>
              <w:top w:w="80" w:type="dxa"/>
              <w:left w:w="120" w:type="dxa"/>
              <w:bottom w:w="80" w:type="dxa"/>
              <w:right w:w="120" w:type="dxa"/>
            </w:tcMar>
          </w:tcPr>
          <w:p w:rsidR="002163EE" w:rsidRDefault="00000000">
            <w:r>
              <w:rPr>
                <w:b/>
                <w:bCs/>
                <w:color w:val="0D2137"/>
                <w:sz w:val="20"/>
                <w:szCs w:val="20"/>
              </w:rPr>
              <w:t>Position in the hierarchy (a, b, c at layer n)</w:t>
            </w:r>
          </w:p>
        </w:tc>
        <w:tc>
          <w:tcPr>
            <w:tcW w:w="6360" w:type="dxa"/>
            <w:tcBorders>
              <w:top w:val="single" w:sz="4" w:space="0" w:color="D0D7DE"/>
              <w:left w:val="single" w:sz="4" w:space="0" w:color="D0D7DE"/>
              <w:bottom w:val="single" w:sz="4" w:space="0" w:color="D0D7DE"/>
              <w:right w:val="single" w:sz="4" w:space="0" w:color="D0D7DE"/>
            </w:tcBorders>
            <w:shd w:val="clear" w:color="auto" w:fill="EBF5FB"/>
            <w:tcMar>
              <w:top w:w="80" w:type="dxa"/>
              <w:left w:w="120" w:type="dxa"/>
              <w:bottom w:w="80" w:type="dxa"/>
              <w:right w:w="120" w:type="dxa"/>
            </w:tcMar>
          </w:tcPr>
          <w:p w:rsidR="002163EE" w:rsidRDefault="00000000">
            <w:r>
              <w:rPr>
                <w:color w:val="222222"/>
                <w:sz w:val="20"/>
                <w:szCs w:val="20"/>
              </w:rPr>
              <w:t>Category / type metadata. Where this memory lives in the conceptual structure.</w:t>
            </w:r>
          </w:p>
        </w:tc>
      </w:tr>
      <w:tr w:rsidR="002163EE">
        <w:tblPrEx>
          <w:tblCellMar>
            <w:top w:w="0" w:type="dxa"/>
            <w:bottom w:w="0" w:type="dxa"/>
          </w:tblCellMar>
        </w:tblPrEx>
        <w:tc>
          <w:tcPr>
            <w:tcW w:w="30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tcPr>
          <w:p w:rsidR="002163EE" w:rsidRDefault="00000000">
            <w:r>
              <w:rPr>
                <w:b/>
                <w:bCs/>
                <w:color w:val="0D2137"/>
                <w:sz w:val="20"/>
                <w:szCs w:val="20"/>
              </w:rPr>
              <w:t>Structural relationship to sibling nodes (same layer n)</w:t>
            </w:r>
          </w:p>
        </w:tc>
        <w:tc>
          <w:tcPr>
            <w:tcW w:w="63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tcPr>
          <w:p w:rsidR="002163EE" w:rsidRDefault="00000000">
            <w:r>
              <w:rPr>
                <w:color w:val="222222"/>
                <w:sz w:val="20"/>
                <w:szCs w:val="20"/>
              </w:rPr>
              <w:t>Relational metadata. How this memory relates to everything else at the same level.</w:t>
            </w:r>
          </w:p>
        </w:tc>
      </w:tr>
      <w:tr w:rsidR="002163EE">
        <w:tblPrEx>
          <w:tblCellMar>
            <w:top w:w="0" w:type="dxa"/>
            <w:bottom w:w="0" w:type="dxa"/>
          </w:tblCellMar>
        </w:tblPrEx>
        <w:tc>
          <w:tcPr>
            <w:tcW w:w="3000" w:type="dxa"/>
            <w:tcBorders>
              <w:top w:val="single" w:sz="4" w:space="0" w:color="D0D7DE"/>
              <w:left w:val="single" w:sz="4" w:space="0" w:color="D0D7DE"/>
              <w:bottom w:val="single" w:sz="4" w:space="0" w:color="D0D7DE"/>
              <w:right w:val="single" w:sz="4" w:space="0" w:color="D0D7DE"/>
            </w:tcBorders>
            <w:shd w:val="clear" w:color="auto" w:fill="EBF5FB"/>
            <w:tcMar>
              <w:top w:w="80" w:type="dxa"/>
              <w:left w:w="120" w:type="dxa"/>
              <w:bottom w:w="80" w:type="dxa"/>
              <w:right w:w="120" w:type="dxa"/>
            </w:tcMar>
          </w:tcPr>
          <w:p w:rsidR="002163EE" w:rsidRDefault="00000000">
            <w:r>
              <w:rPr>
                <w:b/>
                <w:bCs/>
                <w:color w:val="0D2137"/>
                <w:sz w:val="20"/>
                <w:szCs w:val="20"/>
              </w:rPr>
              <w:t>Inheritance from parent address (layer n-1)</w:t>
            </w:r>
          </w:p>
        </w:tc>
        <w:tc>
          <w:tcPr>
            <w:tcW w:w="6360" w:type="dxa"/>
            <w:tcBorders>
              <w:top w:val="single" w:sz="4" w:space="0" w:color="D0D7DE"/>
              <w:left w:val="single" w:sz="4" w:space="0" w:color="D0D7DE"/>
              <w:bottom w:val="single" w:sz="4" w:space="0" w:color="D0D7DE"/>
              <w:right w:val="single" w:sz="4" w:space="0" w:color="D0D7DE"/>
            </w:tcBorders>
            <w:shd w:val="clear" w:color="auto" w:fill="EBF5FB"/>
            <w:tcMar>
              <w:top w:w="80" w:type="dxa"/>
              <w:left w:w="120" w:type="dxa"/>
              <w:bottom w:w="80" w:type="dxa"/>
              <w:right w:w="120" w:type="dxa"/>
            </w:tcMar>
          </w:tcPr>
          <w:p w:rsidR="002163EE" w:rsidRDefault="00000000">
            <w:r>
              <w:rPr>
                <w:color w:val="222222"/>
                <w:sz w:val="20"/>
                <w:szCs w:val="20"/>
              </w:rPr>
              <w:t>Lineage metadata. What conceptual parent this memory belongs to — its full ancestry in the structure.</w:t>
            </w:r>
          </w:p>
        </w:tc>
      </w:tr>
      <w:tr w:rsidR="002163EE">
        <w:tblPrEx>
          <w:tblCellMar>
            <w:top w:w="0" w:type="dxa"/>
            <w:bottom w:w="0" w:type="dxa"/>
          </w:tblCellMar>
        </w:tblPrEx>
        <w:tc>
          <w:tcPr>
            <w:tcW w:w="30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tcPr>
          <w:p w:rsidR="002163EE" w:rsidRDefault="00000000">
            <w:r>
              <w:rPr>
                <w:b/>
                <w:bCs/>
                <w:color w:val="0D2137"/>
                <w:sz w:val="20"/>
                <w:szCs w:val="20"/>
              </w:rPr>
              <w:t>Probability weight (pre-computed from Pascal structure)</w:t>
            </w:r>
          </w:p>
        </w:tc>
        <w:tc>
          <w:tcPr>
            <w:tcW w:w="63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tcPr>
          <w:p w:rsidR="002163EE" w:rsidRDefault="00000000">
            <w:r>
              <w:rPr>
                <w:color w:val="222222"/>
                <w:sz w:val="20"/>
                <w:szCs w:val="20"/>
              </w:rPr>
              <w:t>Routing / priority metadata. How likely this memory is to be retrieved in a given query context.</w:t>
            </w:r>
          </w:p>
        </w:tc>
      </w:tr>
    </w:tbl>
    <w:p w:rsidR="002163EE" w:rsidRDefault="002163EE">
      <w:pPr>
        <w:spacing w:after="120"/>
      </w:pPr>
    </w:p>
    <w:p w:rsidR="002163EE" w:rsidRDefault="00000000">
      <w:pPr>
        <w:pBdr>
          <w:bottom w:val="single" w:sz="6" w:space="4" w:color="C9A84C"/>
        </w:pBdr>
        <w:spacing w:before="280" w:after="100"/>
      </w:pPr>
      <w:r>
        <w:rPr>
          <w:b/>
          <w:bCs/>
          <w:color w:val="0D2137"/>
          <w:sz w:val="30"/>
          <w:szCs w:val="30"/>
        </w:rPr>
        <w:t>Where χ Enters — It Was Always Tied to This</w:t>
      </w:r>
    </w:p>
    <w:p w:rsidR="002163EE" w:rsidRDefault="00000000">
      <w:pPr>
        <w:spacing w:after="120"/>
      </w:pPr>
      <w:r>
        <w:rPr>
          <w:color w:val="222222"/>
        </w:rPr>
        <w:t>The Inception Rule is the four-step ingestion protocol. Look at Steps 2 and 3 side by side:</w:t>
      </w:r>
    </w:p>
    <w:p w:rsidR="002163EE" w:rsidRDefault="00000000">
      <w:pPr>
        <w:pStyle w:val="ListParagraph"/>
        <w:numPr>
          <w:ilvl w:val="0"/>
          <w:numId w:val="2"/>
        </w:numPr>
        <w:spacing w:after="60"/>
      </w:pPr>
      <w:r>
        <w:rPr>
          <w:color w:val="222222"/>
        </w:rPr>
        <w:t>Step 2 — Receptance: The Pascal coordinate (a, b, c) is computed and assigned. This is the metadata assignment.</w:t>
      </w:r>
    </w:p>
    <w:p w:rsidR="002163EE" w:rsidRDefault="00000000">
      <w:pPr>
        <w:pStyle w:val="ListParagraph"/>
        <w:numPr>
          <w:ilvl w:val="0"/>
          <w:numId w:val="2"/>
        </w:numPr>
        <w:spacing w:after="60"/>
      </w:pPr>
      <w:r>
        <w:rPr>
          <w:color w:val="222222"/>
        </w:rPr>
        <w:t>Step 3 — Acceptance: The χ-bounded temporal window is established. This is the selection/compression mechanism being initialized.</w:t>
      </w:r>
    </w:p>
    <w:p w:rsidR="002163EE" w:rsidRDefault="00000000">
      <w:pPr>
        <w:spacing w:after="120"/>
      </w:pPr>
      <w:r>
        <w:rPr>
          <w:color w:val="222222"/>
        </w:rPr>
        <w:lastRenderedPageBreak/>
        <w:t>These two steps happen at the same moment — at ingestion. The metadata (Pascal address) and the selection mechanism (χ boundary) are assigned together, in sequence, as a unified act. They were not designed separately and connected later. They are the same operation in two expressions.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63EE">
        <w:tblPrEx>
          <w:tblCellMar>
            <w:top w:w="0" w:type="dxa"/>
            <w:bottom w:w="0" w:type="dxa"/>
          </w:tblCellMar>
        </w:tblPrEx>
        <w:tc>
          <w:tcPr>
            <w:tcW w:w="9360" w:type="dxa"/>
            <w:tcBorders>
              <w:top w:val="none" w:sz="0" w:space="0" w:color="FFFFFF"/>
              <w:left w:val="single" w:sz="20" w:space="0" w:color="1A6B8A"/>
              <w:bottom w:val="none" w:sz="0" w:space="0" w:color="FFFFFF"/>
              <w:right w:val="none" w:sz="0" w:space="0" w:color="FFFFFF"/>
            </w:tcBorders>
            <w:shd w:val="clear" w:color="auto" w:fill="EBF5FB"/>
            <w:tcMar>
              <w:top w:w="120" w:type="dxa"/>
              <w:left w:w="200" w:type="dxa"/>
              <w:bottom w:w="120" w:type="dxa"/>
              <w:right w:w="120" w:type="dxa"/>
            </w:tcMar>
          </w:tcPr>
          <w:p w:rsidR="002163EE" w:rsidRDefault="00000000">
            <w:pPr>
              <w:spacing w:after="80"/>
            </w:pPr>
            <w:r>
              <w:rPr>
                <w:b/>
                <w:bCs/>
                <w:color w:val="0D2137"/>
              </w:rPr>
              <w:t>The implication:</w:t>
            </w:r>
          </w:p>
          <w:p w:rsidR="002163EE" w:rsidRDefault="00000000">
            <w:r>
              <w:rPr>
                <w:color w:val="222222"/>
              </w:rPr>
              <w:t>You do not need a separate metadata tagging system. If you have Pascal addressing, you have metadata — it is intrinsic to the address. And if you have χ, it already knows how to work with those addresses because it was designed to operate on the Pascal coordinate structure from the beginning.</w:t>
            </w:r>
          </w:p>
        </w:tc>
      </w:tr>
    </w:tbl>
    <w:p w:rsidR="002163EE" w:rsidRDefault="002163EE">
      <w:pPr>
        <w:spacing w:after="160"/>
      </w:pPr>
    </w:p>
    <w:p w:rsidR="002163EE" w:rsidRDefault="00000000">
      <w:pPr>
        <w:pBdr>
          <w:bottom w:val="single" w:sz="6" w:space="4" w:color="C9A84C"/>
        </w:pBdr>
        <w:spacing w:before="280" w:after="100"/>
      </w:pPr>
      <w:r>
        <w:rPr>
          <w:b/>
          <w:bCs/>
          <w:color w:val="0D2137"/>
          <w:sz w:val="30"/>
          <w:szCs w:val="30"/>
        </w:rPr>
        <w:t>Why This Matters for Jeremiah's Work</w:t>
      </w:r>
      <w:r w:rsidR="0019702F">
        <w:rPr>
          <w:b/>
          <w:bCs/>
          <w:color w:val="0D2137"/>
          <w:sz w:val="30"/>
          <w:szCs w:val="30"/>
        </w:rPr>
        <w:t xml:space="preserve"> With The Tech</w:t>
      </w:r>
    </w:p>
    <w:p w:rsidR="002163EE" w:rsidRDefault="00000000">
      <w:pPr>
        <w:spacing w:after="120"/>
      </w:pPr>
      <w:r>
        <w:rPr>
          <w:color w:val="222222"/>
        </w:rPr>
        <w:t xml:space="preserve">Jeremiah has been exploring how to handle metadata tagging in his own implementation work (the </w:t>
      </w:r>
      <w:proofErr w:type="spellStart"/>
      <w:r>
        <w:rPr>
          <w:color w:val="222222"/>
        </w:rPr>
        <w:t>Definitiv</w:t>
      </w:r>
      <w:proofErr w:type="spellEnd"/>
      <w:r>
        <w:rPr>
          <w:color w:val="222222"/>
        </w:rPr>
        <w:t>-AI project). The answer from the GME architecture is: stop thinking of metadata as something to add on top of an existing structure. Build Pascal addressing first. The metadata comes with it for free — it is encoded in the address itself.</w:t>
      </w:r>
    </w:p>
    <w:p w:rsidR="002163EE" w:rsidRDefault="00000000">
      <w:pPr>
        <w:spacing w:after="120"/>
      </w:pPr>
      <w:r>
        <w:rPr>
          <w:color w:val="222222"/>
        </w:rPr>
        <w:t>When χ operates on the memory structure, it uses the Pascal coordinates to understand what each memory is, where it sits, what it relates to, and how important it is. It does not need a separate metadata layer to do this. The address provides everything χ needs to select and compress correctly.</w:t>
      </w:r>
    </w:p>
    <w:p w:rsidR="002163EE" w:rsidRDefault="002163EE">
      <w:pPr>
        <w:spacing w:after="160"/>
      </w:pPr>
    </w:p>
    <w:p w:rsidR="002163EE" w:rsidRDefault="002163EE">
      <w:pPr>
        <w:pBdr>
          <w:bottom w:val="single" w:sz="4" w:space="2" w:color="D0D7DE"/>
        </w:pBdr>
        <w:spacing w:before="100" w:after="100"/>
      </w:pPr>
    </w:p>
    <w:p w:rsidR="002163EE" w:rsidRDefault="00000000">
      <w:r>
        <w:rPr>
          <w:i/>
          <w:iCs/>
          <w:color w:val="666666"/>
          <w:sz w:val="18"/>
          <w:szCs w:val="18"/>
        </w:rPr>
        <w:t>This note is a companion to the Emergence Finding documents distributed March 16, 2026. Cross-reference: Jeremiah_Deep_Technical_Overview_2026-03-15.docx and the Pascal Pyramid Protocol README.</w:t>
      </w:r>
    </w:p>
    <w:p w:rsidR="002163EE" w:rsidRDefault="00000000">
      <w:pPr>
        <w:spacing w:before="360" w:after="120"/>
      </w:pPr>
      <w:r>
        <w:rPr>
          <w:b/>
          <w:sz w:val="24"/>
          <w:szCs w:val="24"/>
        </w:rPr>
        <w:t>Addendum: March 19, 2026 — Extensions Since Original Note</w:t>
      </w:r>
    </w:p>
    <w:p w:rsidR="002163EE" w:rsidRDefault="00000000">
      <w:pPr>
        <w:spacing w:after="80"/>
      </w:pPr>
      <w:r>
        <w:t>The core insight of this note remains unchanged: Pascal addressing IS the metadata. Since this note was written (March 16), three developments have extended this principle further.</w:t>
      </w:r>
    </w:p>
    <w:p w:rsidR="002163EE" w:rsidRDefault="00000000">
      <w:pPr>
        <w:spacing w:before="120" w:after="60"/>
      </w:pPr>
      <w:r>
        <w:rPr>
          <w:b/>
        </w:rPr>
        <w:t>1. Patent D and Geometric Metadata</w:t>
      </w:r>
    </w:p>
    <w:p w:rsidR="002163EE" w:rsidRDefault="00000000">
      <w:pPr>
        <w:spacing w:after="80"/>
      </w:pPr>
      <w:r>
        <w:t>The Pascal address does not just serve as metadata for retrieval. It is now the foundation for Patent D's semantic bindings. When the validation-to-curvature binding deforms the geometry at a particular Pascal address, that curvature deformation IS the trust metadata. When the goal-to-attractor binding creates a metric valley near a goal, the geodesic distance from any Pascal address to that goal IS the relevance metadata. The metadata is not just encoded in the address — it is encoded in the geometry around the address. The address tells you where a memory lives. The curvature field around it tells you how much it is trusted, how relevant it is to active goals, and how frequently it has been traversed. All of this is geometric, all of it is derived from the Pascal structure, and none of it requires a separate tagging system.</w:t>
      </w:r>
    </w:p>
    <w:p w:rsidR="002163EE" w:rsidRDefault="00000000">
      <w:pPr>
        <w:spacing w:before="120" w:after="60"/>
      </w:pPr>
      <w:r>
        <w:rPr>
          <w:b/>
        </w:rPr>
        <w:t>2. Information Lensing as Metadata in Action</w:t>
      </w:r>
    </w:p>
    <w:p w:rsidR="002163EE" w:rsidRDefault="00000000">
      <w:pPr>
        <w:spacing w:after="80"/>
      </w:pPr>
      <w:r>
        <w:t>Because the Pascal address carries structural weight C(</w:t>
      </w:r>
      <w:proofErr w:type="spellStart"/>
      <w:proofErr w:type="gramStart"/>
      <w:r>
        <w:t>n;a</w:t>
      </w:r>
      <w:proofErr w:type="gramEnd"/>
      <w:r>
        <w:t>,b,c</w:t>
      </w:r>
      <w:proofErr w:type="spellEnd"/>
      <w:r>
        <w:t xml:space="preserve">), and the curvature field operates on those addresses, the metadata system naturally produces information lensing. High-weight addresses near the centroid of the Pascal Pyramid create stronger lensing effects because they have more structural paths converging at them. Queries passing near these addresses are </w:t>
      </w:r>
      <w:proofErr w:type="spellStart"/>
      <w:r>
        <w:t>geodesically</w:t>
      </w:r>
      <w:proofErr w:type="spellEnd"/>
      <w:r>
        <w:t xml:space="preserve"> deflected toward them. The metadata and the lensing are the same structure — the Pascal coefficient that makes an address important for metadata purposes is the same coefficient that makes it a lensing source. This is why information lensing is impossible in flat-space systems: </w:t>
      </w:r>
      <w:r>
        <w:lastRenderedPageBreak/>
        <w:t>without the Pascal coordinate structure, there is no pre-deterministic weight to create the curvature gradient.</w:t>
      </w:r>
    </w:p>
    <w:p w:rsidR="002163EE" w:rsidRDefault="00000000">
      <w:pPr>
        <w:spacing w:before="120" w:after="60"/>
      </w:pPr>
      <w:r>
        <w:rPr>
          <w:b/>
        </w:rPr>
        <w:t>3. The 7-Level Projection — Metadata at Seven Resolutions</w:t>
      </w:r>
    </w:p>
    <w:p w:rsidR="002163EE" w:rsidRDefault="00000000">
      <w:pPr>
        <w:spacing w:after="80"/>
      </w:pPr>
      <w:r>
        <w:t>Each Pascal address now projects into all 7 natural bases simultaneously (4, 8, 12, 16, 20, 24, 28). This means the metadata is not one address — it is a 7-tuple of addresses at different geometric resolutions. Two memories that appear far apart at one resolution may be adjacent at another. The multi-level metadata reveals structural relationships that a single-base system cannot see. Genuine causal connections tend to persist across multiple resolution levels, while coincidental proximity appears at only one level. Multi-level agreement is therefore the primary filter for distinguishing real structure from noise — and that filter is built into the Pascal addressing itself.</w:t>
      </w:r>
    </w:p>
    <w:p w:rsidR="002163EE" w:rsidRDefault="00000000">
      <w:pPr>
        <w:spacing w:before="80" w:after="80"/>
      </w:pPr>
      <w:r>
        <w:rPr>
          <w:i/>
          <w:sz w:val="20"/>
          <w:szCs w:val="20"/>
        </w:rPr>
        <w:t>Addendum added March 19, 2026 — Session 015. The original note (March 16) remains fully current. These extensions build on its central principle.</w:t>
      </w:r>
    </w:p>
    <w:sectPr w:rsidR="002163EE">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7645" w:rsidRDefault="004B7645">
      <w:r>
        <w:separator/>
      </w:r>
    </w:p>
  </w:endnote>
  <w:endnote w:type="continuationSeparator" w:id="0">
    <w:p w:rsidR="004B7645" w:rsidRDefault="004B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63EE" w:rsidRDefault="00000000">
    <w:pPr>
      <w:pBdr>
        <w:top w:val="single" w:sz="4" w:space="4" w:color="D0D7DE"/>
      </w:pBdr>
    </w:pPr>
    <w:r>
      <w:rPr>
        <w:color w:val="888888"/>
        <w:sz w:val="16"/>
        <w:szCs w:val="16"/>
      </w:rPr>
      <w:t xml:space="preserve">GMS/GME — Pascal Addressing &amp; Metadata — Group </w:t>
    </w:r>
    <w:proofErr w:type="gramStart"/>
    <w:r>
      <w:rPr>
        <w:color w:val="888888"/>
        <w:sz w:val="16"/>
        <w:szCs w:val="16"/>
      </w:rPr>
      <w:t>Note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19702F">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7645" w:rsidRDefault="004B7645">
      <w:r>
        <w:separator/>
      </w:r>
    </w:p>
  </w:footnote>
  <w:footnote w:type="continuationSeparator" w:id="0">
    <w:p w:rsidR="004B7645" w:rsidRDefault="004B76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63EE" w:rsidRDefault="00000000">
    <w:pPr>
      <w:pBdr>
        <w:bottom w:val="single" w:sz="4" w:space="4" w:color="D0D7DE"/>
      </w:pBdr>
    </w:pPr>
    <w:r>
      <w:rPr>
        <w:color w:val="888888"/>
        <w:sz w:val="16"/>
        <w:szCs w:val="16"/>
      </w:rPr>
      <w:t>NOTE — March 16, 2026   |   For the Group — Pascal &amp; Metadata Tagging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FD5"/>
    <w:multiLevelType w:val="hybridMultilevel"/>
    <w:tmpl w:val="86447B46"/>
    <w:lvl w:ilvl="0" w:tplc="CD001D6E">
      <w:start w:val="1"/>
      <w:numFmt w:val="bullet"/>
      <w:lvlText w:val="•"/>
      <w:lvlJc w:val="left"/>
      <w:pPr>
        <w:ind w:left="540" w:hanging="260"/>
      </w:pPr>
    </w:lvl>
    <w:lvl w:ilvl="1" w:tplc="75E2DAEA">
      <w:numFmt w:val="decimal"/>
      <w:lvlText w:val=""/>
      <w:lvlJc w:val="left"/>
    </w:lvl>
    <w:lvl w:ilvl="2" w:tplc="DAFC89FE">
      <w:numFmt w:val="decimal"/>
      <w:lvlText w:val=""/>
      <w:lvlJc w:val="left"/>
    </w:lvl>
    <w:lvl w:ilvl="3" w:tplc="69149E50">
      <w:numFmt w:val="decimal"/>
      <w:lvlText w:val=""/>
      <w:lvlJc w:val="left"/>
    </w:lvl>
    <w:lvl w:ilvl="4" w:tplc="0BF892E6">
      <w:numFmt w:val="decimal"/>
      <w:lvlText w:val=""/>
      <w:lvlJc w:val="left"/>
    </w:lvl>
    <w:lvl w:ilvl="5" w:tplc="ED3EF17C">
      <w:numFmt w:val="decimal"/>
      <w:lvlText w:val=""/>
      <w:lvlJc w:val="left"/>
    </w:lvl>
    <w:lvl w:ilvl="6" w:tplc="CDDC1DAA">
      <w:numFmt w:val="decimal"/>
      <w:lvlText w:val=""/>
      <w:lvlJc w:val="left"/>
    </w:lvl>
    <w:lvl w:ilvl="7" w:tplc="68A2AA76">
      <w:numFmt w:val="decimal"/>
      <w:lvlText w:val=""/>
      <w:lvlJc w:val="left"/>
    </w:lvl>
    <w:lvl w:ilvl="8" w:tplc="0654031A">
      <w:numFmt w:val="decimal"/>
      <w:lvlText w:val=""/>
      <w:lvlJc w:val="left"/>
    </w:lvl>
  </w:abstractNum>
  <w:abstractNum w:abstractNumId="1" w15:restartNumberingAfterBreak="0">
    <w:nsid w:val="4B651E29"/>
    <w:multiLevelType w:val="hybridMultilevel"/>
    <w:tmpl w:val="9AFE80C0"/>
    <w:lvl w:ilvl="0" w:tplc="C1707612">
      <w:start w:val="1"/>
      <w:numFmt w:val="bullet"/>
      <w:lvlText w:val="●"/>
      <w:lvlJc w:val="left"/>
      <w:pPr>
        <w:ind w:left="720" w:hanging="360"/>
      </w:pPr>
    </w:lvl>
    <w:lvl w:ilvl="1" w:tplc="EE44590C">
      <w:start w:val="1"/>
      <w:numFmt w:val="bullet"/>
      <w:lvlText w:val="○"/>
      <w:lvlJc w:val="left"/>
      <w:pPr>
        <w:ind w:left="1440" w:hanging="360"/>
      </w:pPr>
    </w:lvl>
    <w:lvl w:ilvl="2" w:tplc="8CC030E8">
      <w:start w:val="1"/>
      <w:numFmt w:val="bullet"/>
      <w:lvlText w:val="■"/>
      <w:lvlJc w:val="left"/>
      <w:pPr>
        <w:ind w:left="2160" w:hanging="360"/>
      </w:pPr>
    </w:lvl>
    <w:lvl w:ilvl="3" w:tplc="84E2435A">
      <w:start w:val="1"/>
      <w:numFmt w:val="bullet"/>
      <w:lvlText w:val="●"/>
      <w:lvlJc w:val="left"/>
      <w:pPr>
        <w:ind w:left="2880" w:hanging="360"/>
      </w:pPr>
    </w:lvl>
    <w:lvl w:ilvl="4" w:tplc="6652E5CC">
      <w:start w:val="1"/>
      <w:numFmt w:val="bullet"/>
      <w:lvlText w:val="○"/>
      <w:lvlJc w:val="left"/>
      <w:pPr>
        <w:ind w:left="3600" w:hanging="360"/>
      </w:pPr>
    </w:lvl>
    <w:lvl w:ilvl="5" w:tplc="4000C282">
      <w:start w:val="1"/>
      <w:numFmt w:val="bullet"/>
      <w:lvlText w:val="■"/>
      <w:lvlJc w:val="left"/>
      <w:pPr>
        <w:ind w:left="4320" w:hanging="360"/>
      </w:pPr>
    </w:lvl>
    <w:lvl w:ilvl="6" w:tplc="A9F6C77A">
      <w:start w:val="1"/>
      <w:numFmt w:val="bullet"/>
      <w:lvlText w:val="●"/>
      <w:lvlJc w:val="left"/>
      <w:pPr>
        <w:ind w:left="5040" w:hanging="360"/>
      </w:pPr>
    </w:lvl>
    <w:lvl w:ilvl="7" w:tplc="2D56A242">
      <w:start w:val="1"/>
      <w:numFmt w:val="bullet"/>
      <w:lvlText w:val="●"/>
      <w:lvlJc w:val="left"/>
      <w:pPr>
        <w:ind w:left="5760" w:hanging="360"/>
      </w:pPr>
    </w:lvl>
    <w:lvl w:ilvl="8" w:tplc="26644970">
      <w:start w:val="1"/>
      <w:numFmt w:val="bullet"/>
      <w:lvlText w:val="●"/>
      <w:lvlJc w:val="left"/>
      <w:pPr>
        <w:ind w:left="6480" w:hanging="360"/>
      </w:pPr>
    </w:lvl>
  </w:abstractNum>
  <w:num w:numId="1" w16cid:durableId="1670910460">
    <w:abstractNumId w:val="1"/>
    <w:lvlOverride w:ilvl="0">
      <w:startOverride w:val="1"/>
    </w:lvlOverride>
  </w:num>
  <w:num w:numId="2" w16cid:durableId="14990732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3EE"/>
    <w:rsid w:val="0019702F"/>
    <w:rsid w:val="002163EE"/>
    <w:rsid w:val="004B7645"/>
    <w:rsid w:val="00584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C8D532"/>
  <w15:docId w15:val="{B6982074-EC45-254F-A059-5C1E51CBF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956</Words>
  <Characters>5452</Characters>
  <Application>Microsoft Office Word</Application>
  <DocSecurity>0</DocSecurity>
  <Lines>45</Lines>
  <Paragraphs>12</Paragraphs>
  <ScaleCrop>false</ScaleCrop>
  <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Guarino</cp:lastModifiedBy>
  <cp:revision>2</cp:revision>
  <dcterms:created xsi:type="dcterms:W3CDTF">2026-03-16T21:58:00Z</dcterms:created>
  <dcterms:modified xsi:type="dcterms:W3CDTF">2026-03-20T04:06:00Z</dcterms:modified>
</cp:coreProperties>
</file>