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60"/>
        <w:jc w:val="center"/>
      </w:pPr>
      <w:r>
        <w:rPr>
          <w:rFonts w:ascii="Arial" w:cs="Arial" w:eastAsia="Arial" w:hAnsi="Arial"/>
          <w:b/>
          <w:bCs/>
          <w:color w:val="1B2A4A"/>
          <w:sz w:val="44"/>
          <w:szCs w:val="44"/>
        </w:rPr>
        <w:t xml:space="preserve">ATTRACTOR DYNAMIX</w:t>
      </w:r>
    </w:p>
    <w:p>
      <w:pPr>
        <w:spacing w:after="150"/>
        <w:jc w:val="center"/>
      </w:pPr>
      <w:r>
        <w:rPr>
          <w:rFonts w:ascii="Arial" w:cs="Arial" w:eastAsia="Arial" w:hAnsi="Arial"/>
          <w:color w:val="0E6B7A"/>
          <w:sz w:val="36"/>
          <w:szCs w:val="36"/>
        </w:rPr>
        <w:t xml:space="preserve">PROJECT UPDATE</w:t>
      </w:r>
    </w:p>
    <w:p>
      <w:pPr>
        <w:pBdr>
          <w:bottom w:val="single" w:color="0E6B7A" w:sz="6" w:space="1"/>
        </w:pBdr>
        <w:spacing w:after="120" w:before="120"/>
      </w:pPr>
    </w:p>
    <w:p>
      <w:pPr>
        <w:spacing w:after="60"/>
        <w:jc w:val="center"/>
      </w:pPr>
      <w:r>
        <w:rPr>
          <w:rFonts w:ascii="Arial" w:cs="Arial" w:eastAsia="Arial" w:hAnsi="Arial"/>
          <w:color w:val="666666"/>
          <w:sz w:val="24"/>
          <w:szCs w:val="24"/>
        </w:rPr>
        <w:t xml:space="preserve">Summary of Progress: March 18 – March 23, 2026</w:t>
      </w:r>
    </w:p>
    <w:p>
      <w:pPr>
        <w:spacing w:after="60"/>
        <w:jc w:val="center"/>
      </w:pPr>
      <w:r>
        <w:rPr>
          <w:rFonts w:ascii="Arial" w:cs="Arial" w:eastAsia="Arial" w:hAnsi="Arial"/>
          <w:color w:val="888888"/>
          <w:sz w:val="22"/>
          <w:szCs w:val="22"/>
        </w:rPr>
        <w:t xml:space="preserve">Sessions 014 → 020</w:t>
      </w:r>
    </w:p>
    <w:p>
      <w:pPr>
        <w:spacing w:after="300" w:before="300"/>
      </w:pPr>
    </w:p>
    <w:p>
      <w:pPr>
        <w:spacing w:after="40"/>
        <w:jc w:val="center"/>
      </w:pPr>
      <w:r>
        <w:rPr>
          <w:rFonts w:ascii="Arial" w:cs="Arial" w:eastAsia="Arial" w:hAnsi="Arial"/>
          <w:i/>
          <w:iCs/>
          <w:color w:val="888888"/>
          <w:sz w:val="20"/>
          <w:szCs w:val="20"/>
        </w:rPr>
        <w:t xml:space="preserve">Prepared for:</w:t>
      </w:r>
    </w:p>
    <w:p>
      <w:pPr>
        <w:spacing w:after="40"/>
        <w:jc w:val="center"/>
      </w:pPr>
      <w:r>
        <w:rPr>
          <w:rFonts w:ascii="Arial" w:cs="Arial" w:eastAsia="Arial" w:hAnsi="Arial"/>
          <w:color w:val="1B2A4A"/>
          <w:sz w:val="22"/>
          <w:szCs w:val="22"/>
        </w:rPr>
        <w:t xml:space="preserve">Matthew T. Foster  ·  Jeremiah F. Jeschke  ·  Todd Nelson</w:t>
      </w:r>
    </w:p>
    <w:p>
      <w:pPr>
        <w:spacing w:after="150" w:before="150"/>
      </w:pPr>
    </w:p>
    <w:p>
      <w:pPr>
        <w:jc w:val="center"/>
      </w:pPr>
      <w:r>
        <w:rPr>
          <w:rFonts w:ascii="Arial" w:cs="Arial" w:eastAsia="Arial" w:hAnsi="Arial"/>
          <w:color w:val="888888"/>
          <w:sz w:val="20"/>
          <w:szCs w:val="20"/>
        </w:rPr>
        <w:t xml:space="preserve">From: Michael Guarino  ·  March 23, 2026</w:t>
      </w:r>
    </w:p>
    <w:p>
      <w:pPr>
        <w:spacing w:after="300" w:before="300"/>
      </w:pPr>
    </w:p>
    <w:p>
      <w:pPr>
        <w:jc w:val="center"/>
      </w:pPr>
      <w:r>
        <w:rPr>
          <w:rFonts w:ascii="Arial" w:cs="Arial" w:eastAsia="Arial" w:hAnsi="Arial"/>
          <w:i/>
          <w:iCs/>
          <w:color w:val="AAAAAA"/>
          <w:sz w:val="18"/>
          <w:szCs w:val="18"/>
        </w:rPr>
        <w:t xml:space="preserve">Strictly 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00" w:line="276"/>
      </w:pPr>
      <w:r>
        <w:rPr>
          <w:rFonts w:ascii="Arial" w:cs="Arial" w:eastAsia="Arial" w:hAnsi="Arial"/>
          <w:color w:val="333333"/>
          <w:sz w:val="22"/>
          <w:szCs w:val="22"/>
        </w:rPr>
        <w:t xml:space="preserve">This document is a point-in-time update covering the period from March 18 to March 23, 2026 — Sessions 014 through 020. It builds forward from the comprehensive group summary you received on March 18, which covered Sessions 001 through 014.</w:t>
      </w:r>
    </w:p>
    <w:p>
      <w:pPr>
        <w:spacing w:after="100" w:line="276"/>
      </w:pPr>
      <w:r>
        <w:rPr>
          <w:rFonts w:ascii="Arial" w:cs="Arial" w:eastAsia="Arial" w:hAnsi="Arial"/>
          <w:color w:val="333333"/>
          <w:sz w:val="22"/>
          <w:szCs w:val="22"/>
        </w:rPr>
        <w:t xml:space="preserve">In the five days since that summary, six additional working sessions have been completed. The pace and depth of progress has been substantial. This document provides a high-level summary of what has been accomplished, what it means, and what comes next.</w:t>
      </w:r>
    </w:p>
    <w:p>
      <w:pPr>
        <w:spacing w:after="100" w:line="276"/>
      </w:pPr>
      <w:r>
        <w:rPr>
          <w:rFonts w:ascii="Arial" w:cs="Arial" w:eastAsia="Arial" w:hAnsi="Arial"/>
          <w:color w:val="333333"/>
          <w:sz w:val="22"/>
          <w:szCs w:val="22"/>
        </w:rPr>
        <w:t xml:space="preserve">This is not a replacement for the March 18 summary. It is a delta — covering only what is new. Read it alongside the original group summary for complete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7A" w:sz="1"/>
              <w:left w:val="single" w:color="0E6B7A" w:sz="1"/>
              <w:bottom w:val="single" w:color="0E6B7A" w:sz="1"/>
              <w:right w:val="single" w:color="0E6B7A" w:sz="1"/>
            </w:tcBorders>
            <w:shd w:fill="F0F5F7" w:val="clear"/>
            <w:tcMar>
              <w:top w:type="dxa" w:w="100"/>
              <w:left w:type="dxa" w:w="180"/>
              <w:bottom w:type="dxa" w:w="100"/>
              <w:right w:type="dxa" w:w="180"/>
            </w:tcMar>
          </w:tcPr>
          <w:p>
            <w:pPr>
              <w:spacing w:line="276"/>
            </w:pPr>
            <w:r>
              <w:rPr>
                <w:rFonts w:ascii="Arial" w:cs="Arial" w:eastAsia="Arial" w:hAnsi="Arial"/>
                <w:i/>
                <w:iCs/>
                <w:color w:val="0E6B7A"/>
                <w:sz w:val="22"/>
                <w:szCs w:val="22"/>
              </w:rPr>
              <w:t xml:space="preserve">Reference document: GMS_GME_Project_Group_Summary_2026-03-18.docx (your baseline). Everything described below builds on that foundation.</w:t>
            </w:r>
          </w:p>
        </w:tc>
      </w:tr>
    </w:tbl>
    <w:p>
      <w:pPr>
        <w:pStyle w:val="Heading1"/>
      </w:pPr>
      <w:r>
        <w:t xml:space="preserve">2. The Meta-Manifold — Completion at Section 33</w:t>
      </w:r>
    </w:p>
    <w:p>
      <w:pPr>
        <w:spacing w:after="100" w:line="276"/>
      </w:pPr>
      <w:r>
        <w:rPr>
          <w:rFonts w:ascii="Arial" w:cs="Arial" w:eastAsia="Arial" w:hAnsi="Arial"/>
          <w:color w:val="333333"/>
          <w:sz w:val="22"/>
          <w:szCs w:val="22"/>
        </w:rPr>
        <w:t xml:space="preserve">The most significant development since the March 18 summary is the completion of the meta-manifold. This is the unifying mathematical object that the entire GMS/GME framework has been building toward.</w:t>
      </w:r>
    </w:p>
    <w:p>
      <w:pPr>
        <w:pStyle w:val="Heading2"/>
      </w:pPr>
      <w:r>
        <w:t xml:space="preserve">What the Meta-Manifold Is</w:t>
      </w:r>
    </w:p>
    <w:p>
      <w:pPr>
        <w:spacing w:after="100" w:line="276"/>
      </w:pPr>
      <w:r>
        <w:rPr>
          <w:rFonts w:ascii="Arial" w:cs="Arial" w:eastAsia="Arial" w:hAnsi="Arial"/>
          <w:color w:val="333333"/>
          <w:sz w:val="22"/>
          <w:szCs w:val="22"/>
        </w:rPr>
        <w:t xml:space="preserve">In the March 18 summary, you received the individual components: the Pascal Pyramid coordinate system, the chi operator, the Inception Rule, the Three Constant Presents, the Block Universe topology, information lensing, and the cognitive application layer. Each of these was presented as a distinct mathematical structure.</w:t>
      </w:r>
    </w:p>
    <w:p>
      <w:pPr>
        <w:spacing w:after="100" w:line="276"/>
      </w:pPr>
      <w:r>
        <w:rPr>
          <w:rFonts w:ascii="Arial" w:cs="Arial" w:eastAsia="Arial" w:hAnsi="Arial"/>
          <w:color w:val="333333"/>
          <w:sz w:val="22"/>
          <w:szCs w:val="22"/>
        </w:rPr>
        <w:t xml:space="preserve">What we have now discovered and formally documented is that all of these structures are not separate things. They are different views of a single geometric object — the meta-manifold.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7A" w:sz="1"/>
              <w:left w:val="single" w:color="0E6B7A" w:sz="1"/>
              <w:bottom w:val="single" w:color="0E6B7A" w:sz="1"/>
              <w:right w:val="single" w:color="0E6B7A" w:sz="1"/>
            </w:tcBorders>
            <w:shd w:fill="F0F5F7" w:val="clear"/>
            <w:tcMar>
              <w:top w:type="dxa" w:w="100"/>
              <w:left w:type="dxa" w:w="180"/>
              <w:bottom w:type="dxa" w:w="100"/>
              <w:right w:type="dxa" w:w="180"/>
            </w:tcMar>
          </w:tcPr>
          <w:p>
            <w:pPr>
              <w:spacing w:line="276"/>
            </w:pPr>
            <w:r>
              <w:rPr>
                <w:rFonts w:ascii="Arial" w:cs="Arial" w:eastAsia="Arial" w:hAnsi="Arial"/>
                <w:i/>
                <w:iCs/>
                <w:color w:val="0E6B7A"/>
                <w:sz w:val="22"/>
                <w:szCs w:val="22"/>
              </w:rPr>
              <w:t xml:space="preserve">A meta-manifold is a manifold whose points are not locations in space but governing equations — the mathematical laws that define how the system behaves at each level and scale. The collection of all these equations IS the manifold. Not a manifold that equations operate on. A manifold that the equations ARE.</w:t>
            </w:r>
          </w:p>
        </w:tc>
      </w:tr>
    </w:tbl>
    <w:p>
      <w:pPr>
        <w:spacing w:after="100" w:line="276"/>
      </w:pPr>
      <w:r>
        <w:rPr>
          <w:rFonts w:ascii="Arial" w:cs="Arial" w:eastAsia="Arial" w:hAnsi="Arial"/>
          <w:color w:val="333333"/>
          <w:sz w:val="22"/>
          <w:szCs w:val="22"/>
        </w:rPr>
        <w:t xml:space="preserve">This is not an abstraction or a metaphor. It is a precise mathematical formulation. Every structure documented in the March 18 summary — the coordinate system, the operators, the field equations, the symmetry groups, the oscillation dynamics — reduces to a projection of this single object.</w:t>
      </w:r>
    </w:p>
    <w:p>
      <w:pPr>
        <w:pStyle w:val="Heading2"/>
      </w:pPr>
      <w:r>
        <w:t xml:space="preserve">What It Does</w:t>
      </w:r>
    </w:p>
    <w:p>
      <w:pPr>
        <w:spacing w:after="100" w:line="276"/>
      </w:pPr>
      <w:r>
        <w:rPr>
          <w:rFonts w:ascii="Arial" w:cs="Arial" w:eastAsia="Arial" w:hAnsi="Arial"/>
          <w:color w:val="333333"/>
          <w:sz w:val="22"/>
          <w:szCs w:val="22"/>
        </w:rPr>
        <w:t xml:space="preserve">The meta-manifold has four key properties:</w:t>
      </w:r>
    </w:p>
    <w:p>
      <w:pPr>
        <w:pStyle w:val="ListParagraph"/>
        <w:numPr>
          <w:ilvl w:val="0"/>
          <w:numId w:val="2"/>
        </w:numPr>
        <w:spacing w:after="60" w:line="276"/>
      </w:pPr>
      <w:r>
        <w:rPr>
          <w:rFonts w:ascii="Arial" w:cs="Arial" w:eastAsia="Arial" w:hAnsi="Arial"/>
          <w:b/>
          <w:bCs/>
          <w:color w:val="333333"/>
          <w:sz w:val="22"/>
          <w:szCs w:val="22"/>
        </w:rPr>
        <w:t xml:space="preserve">It cycles. </w:t>
      </w:r>
      <w:r>
        <w:rPr>
          <w:rFonts w:ascii="Arial" w:cs="Arial" w:eastAsia="Arial" w:hAnsi="Arial"/>
          <w:color w:val="333333"/>
          <w:sz w:val="22"/>
          <w:szCs w:val="22"/>
        </w:rPr>
        <w:t xml:space="preserve">On each cycle through the system, the manifold creates new structure. It opens new pathways as thresholds are crossed.</w:t>
      </w:r>
    </w:p>
    <w:p>
      <w:pPr>
        <w:pStyle w:val="ListParagraph"/>
        <w:numPr>
          <w:ilvl w:val="0"/>
          <w:numId w:val="2"/>
        </w:numPr>
        <w:spacing w:after="60" w:line="276"/>
      </w:pPr>
      <w:r>
        <w:rPr>
          <w:rFonts w:ascii="Arial" w:cs="Arial" w:eastAsia="Arial" w:hAnsi="Arial"/>
          <w:b/>
          <w:bCs/>
          <w:color w:val="333333"/>
          <w:sz w:val="22"/>
          <w:szCs w:val="22"/>
        </w:rPr>
        <w:t xml:space="preserve">It remembers. </w:t>
      </w:r>
      <w:r>
        <w:rPr>
          <w:rFonts w:ascii="Arial" w:cs="Arial" w:eastAsia="Arial" w:hAnsi="Arial"/>
          <w:color w:val="333333"/>
          <w:sz w:val="22"/>
          <w:szCs w:val="22"/>
        </w:rPr>
        <w:t xml:space="preserve">On each return, it re-encodes everything it went through as structural pathways. What was experience on the outward pass becomes governance on the return pass. Memory becomes law.</w:t>
      </w:r>
    </w:p>
    <w:p>
      <w:pPr>
        <w:pStyle w:val="ListParagraph"/>
        <w:numPr>
          <w:ilvl w:val="0"/>
          <w:numId w:val="2"/>
        </w:numPr>
        <w:spacing w:after="60" w:line="276"/>
      </w:pPr>
      <w:r>
        <w:rPr>
          <w:rFonts w:ascii="Arial" w:cs="Arial" w:eastAsia="Arial" w:hAnsi="Arial"/>
          <w:b/>
          <w:bCs/>
          <w:color w:val="333333"/>
          <w:sz w:val="22"/>
          <w:szCs w:val="22"/>
        </w:rPr>
        <w:t xml:space="preserve">It improves. </w:t>
      </w:r>
      <w:r>
        <w:rPr>
          <w:rFonts w:ascii="Arial" w:cs="Arial" w:eastAsia="Arial" w:hAnsi="Arial"/>
          <w:color w:val="333333"/>
          <w:sz w:val="22"/>
          <w:szCs w:val="22"/>
        </w:rPr>
        <w:t xml:space="preserve">The manifold that starts each new cycle is not the same one that started the previous cycle. It has been enriched with everything it learned. New laws on top of previous laws.</w:t>
      </w:r>
    </w:p>
    <w:p>
      <w:pPr>
        <w:pStyle w:val="ListParagraph"/>
        <w:numPr>
          <w:ilvl w:val="0"/>
          <w:numId w:val="2"/>
        </w:numPr>
        <w:spacing w:after="60" w:line="276"/>
      </w:pPr>
      <w:r>
        <w:rPr>
          <w:rFonts w:ascii="Arial" w:cs="Arial" w:eastAsia="Arial" w:hAnsi="Arial"/>
          <w:b/>
          <w:bCs/>
          <w:color w:val="333333"/>
          <w:sz w:val="22"/>
          <w:szCs w:val="22"/>
        </w:rPr>
        <w:t xml:space="preserve">It unifies. </w:t>
      </w:r>
      <w:r>
        <w:rPr>
          <w:rFonts w:ascii="Arial" w:cs="Arial" w:eastAsia="Arial" w:hAnsi="Arial"/>
          <w:color w:val="333333"/>
          <w:sz w:val="22"/>
          <w:szCs w:val="22"/>
        </w:rPr>
        <w:t xml:space="preserve">Every component of the system — Pascal coordinates, chi operator, information lensing, autopoiesis, all of it — is a projection of this one object. One manifold. One metric. One formula.</w:t>
      </w:r>
    </w:p>
    <w:p>
      <w:pPr>
        <w:pStyle w:val="Heading2"/>
      </w:pPr>
      <w:r>
        <w:t xml:space="preserve">Implementation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7A" w:sz="1"/>
              <w:left w:val="single" w:color="0E6B7A" w:sz="1"/>
              <w:bottom w:val="single" w:color="0E6B7A" w:sz="1"/>
              <w:right w:val="single" w:color="0E6B7A" w:sz="1"/>
            </w:tcBorders>
            <w:shd w:fill="F0F5F7" w:val="clear"/>
            <w:tcMar>
              <w:top w:type="dxa" w:w="100"/>
              <w:left w:type="dxa" w:w="180"/>
              <w:bottom w:type="dxa" w:w="100"/>
              <w:right w:type="dxa" w:w="180"/>
            </w:tcMar>
          </w:tcPr>
          <w:p>
            <w:pPr>
              <w:spacing w:line="276"/>
            </w:pPr>
            <w:r>
              <w:rPr>
                <w:rFonts w:ascii="Arial" w:cs="Arial" w:eastAsia="Arial" w:hAnsi="Arial"/>
                <w:i/>
                <w:iCs/>
                <w:color w:val="0E6B7A"/>
                <w:sz w:val="22"/>
                <w:szCs w:val="22"/>
              </w:rPr>
              <w:t xml:space="preserve">With the mathematical foundations now complete at 33 sections and the meta-manifold identified as the unifying structure, the project has moved from “the math is being formalized” to “the math is complete and unified under one structure.” This is a significant shift. The theoretical foundation is in place. The path to implementation is open.</w:t>
            </w:r>
          </w:p>
        </w:tc>
      </w:tr>
    </w:tbl>
    <w:p>
      <w:pPr>
        <w:pStyle w:val="Heading1"/>
      </w:pPr>
      <w:r>
        <w:t xml:space="preserve">3. Mathematical Foundations — High Level Summary</w:t>
      </w:r>
    </w:p>
    <w:p>
      <w:pPr>
        <w:spacing w:after="100" w:line="276"/>
      </w:pPr>
      <w:r>
        <w:rPr>
          <w:rFonts w:ascii="Arial" w:cs="Arial" w:eastAsia="Arial" w:hAnsi="Arial"/>
          <w:color w:val="333333"/>
          <w:sz w:val="22"/>
          <w:szCs w:val="22"/>
        </w:rPr>
        <w:t xml:space="preserve">At the time of the March 18 summary, the mathematical foundations comprised approximately 25 sections. Since then, the formalization has been completed to its target: 33 sections totaling 46,906 words of rigorous mathematical proofs.</w:t>
      </w:r>
    </w:p>
    <w:p>
      <w:pPr>
        <w:pStyle w:val="Heading2"/>
      </w:pPr>
      <w:r>
        <w:t xml:space="preserve">Scope and Scale</w:t>
      </w:r>
    </w:p>
    <w:p>
      <w:pPr>
        <w:pStyle w:val="ListParagraph"/>
        <w:numPr>
          <w:ilvl w:val="0"/>
          <w:numId w:val="2"/>
        </w:numPr>
        <w:spacing w:after="60" w:line="276"/>
      </w:pPr>
      <w:r>
        <w:rPr>
          <w:rFonts w:ascii="Arial" w:cs="Arial" w:eastAsia="Arial" w:hAnsi="Arial"/>
          <w:color w:val="333333"/>
          <w:sz w:val="22"/>
          <w:szCs w:val="22"/>
        </w:rPr>
        <w:t xml:space="preserve">33 formal mathematical sections</w:t>
      </w:r>
    </w:p>
    <w:p>
      <w:pPr>
        <w:pStyle w:val="ListParagraph"/>
        <w:numPr>
          <w:ilvl w:val="0"/>
          <w:numId w:val="2"/>
        </w:numPr>
        <w:spacing w:after="60" w:line="276"/>
      </w:pPr>
      <w:r>
        <w:rPr>
          <w:rFonts w:ascii="Arial" w:cs="Arial" w:eastAsia="Arial" w:hAnsi="Arial"/>
          <w:color w:val="333333"/>
          <w:sz w:val="22"/>
          <w:szCs w:val="22"/>
        </w:rPr>
        <w:t xml:space="preserve">46,906 words of rigorous proofs</w:t>
      </w:r>
    </w:p>
    <w:p>
      <w:pPr>
        <w:pStyle w:val="ListParagraph"/>
        <w:numPr>
          <w:ilvl w:val="0"/>
          <w:numId w:val="2"/>
        </w:numPr>
        <w:spacing w:after="60" w:line="276"/>
      </w:pPr>
      <w:r>
        <w:rPr>
          <w:rFonts w:ascii="Arial" w:cs="Arial" w:eastAsia="Arial" w:hAnsi="Arial"/>
          <w:color w:val="333333"/>
          <w:sz w:val="22"/>
          <w:szCs w:val="22"/>
        </w:rPr>
        <w:t xml:space="preserve">Six major mathematical disciplines unified: partial differential geometry, number theory, group theory, information theory, harmonic analysis, and field theory</w:t>
      </w:r>
    </w:p>
    <w:p>
      <w:pPr>
        <w:pStyle w:val="ListParagraph"/>
        <w:numPr>
          <w:ilvl w:val="0"/>
          <w:numId w:val="2"/>
        </w:numPr>
        <w:spacing w:after="60" w:line="276"/>
      </w:pPr>
      <w:r>
        <w:rPr>
          <w:rFonts w:ascii="Arial" w:cs="Arial" w:eastAsia="Arial" w:hAnsi="Arial"/>
          <w:color w:val="333333"/>
          <w:sz w:val="22"/>
          <w:szCs w:val="22"/>
        </w:rPr>
        <w:t xml:space="preserve">Section 33 represents the completion milestone — the point at which the meta-manifold emerges as the unifying object</w:t>
      </w:r>
    </w:p>
    <w:p>
      <w:pPr>
        <w:pStyle w:val="Heading2"/>
      </w:pPr>
      <w:r>
        <w:t xml:space="preserve">The Unification</w:t>
      </w:r>
    </w:p>
    <w:p>
      <w:pPr>
        <w:spacing w:after="100" w:line="276"/>
      </w:pPr>
      <w:r>
        <w:rPr>
          <w:rFonts w:ascii="Arial" w:cs="Arial" w:eastAsia="Arial" w:hAnsi="Arial"/>
          <w:color w:val="333333"/>
          <w:sz w:val="22"/>
          <w:szCs w:val="22"/>
        </w:rPr>
        <w:t xml:space="preserve">The most important mathematical result is the unification. All 33 sections, all the equations, all the proofs, all the structures reduce to a single formula — the metric of the meta-manifold:</w:t>
      </w:r>
    </w:p>
    <w:p>
      <w:pPr>
        <w:spacing w:after="150" w:before="150"/>
        <w:jc w:val="center"/>
      </w:pPr>
      <w:r>
        <w:rPr>
          <w:rFonts w:ascii="Arial" w:cs="Arial" w:eastAsia="Arial" w:hAnsi="Arial"/>
          <w:b/>
          <w:bCs/>
          <w:color w:val="0E6B7A"/>
          <w:sz w:val="26"/>
          <w:szCs w:val="26"/>
        </w:rPr>
        <w:t xml:space="preserve">ds² = Σ G_ij(ψ) dψ_i dψ_j</w:t>
      </w:r>
    </w:p>
    <w:p>
      <w:pPr>
        <w:spacing w:after="100" w:line="276"/>
      </w:pPr>
      <w:r>
        <w:rPr>
          <w:rFonts w:ascii="Arial" w:cs="Arial" w:eastAsia="Arial" w:hAnsi="Arial"/>
          <w:color w:val="333333"/>
          <w:sz w:val="22"/>
          <w:szCs w:val="22"/>
        </w:rPr>
        <w:t xml:space="preserve">This one equation contains the entire architecture. Every other mathematical structure documented across all 33 sections is a projection of this manifold onto a specific domain. The coordinate system, the operators, the field equations, the oscillation dynamics, the four force correlations, the compression mechanism, the self-organization, the temporal architecture — all of it. Projections of one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7A" w:sz="1"/>
              <w:left w:val="single" w:color="0E6B7A" w:sz="1"/>
              <w:bottom w:val="single" w:color="0E6B7A" w:sz="1"/>
              <w:right w:val="single" w:color="0E6B7A" w:sz="1"/>
            </w:tcBorders>
            <w:shd w:fill="F0F5F7" w:val="clear"/>
            <w:tcMar>
              <w:top w:type="dxa" w:w="100"/>
              <w:left w:type="dxa" w:w="180"/>
              <w:bottom w:type="dxa" w:w="100"/>
              <w:right w:type="dxa" w:w="180"/>
            </w:tcMar>
          </w:tcPr>
          <w:p>
            <w:pPr>
              <w:spacing w:line="276"/>
            </w:pPr>
            <w:r>
              <w:rPr>
                <w:rFonts w:ascii="Arial" w:cs="Arial" w:eastAsia="Arial" w:hAnsi="Arial"/>
                <w:i/>
                <w:iCs/>
                <w:color w:val="0E6B7A"/>
                <w:sz w:val="22"/>
                <w:szCs w:val="22"/>
              </w:rPr>
              <w:t xml:space="preserve">One manifold. One metric. One formula. The math is all the same at every scale.</w:t>
            </w:r>
          </w:p>
        </w:tc>
      </w:tr>
    </w:tbl>
    <w:p>
      <w:pPr>
        <w:pStyle w:val="Heading1"/>
      </w:pPr>
      <w:r>
        <w:t xml:space="preserve">4. Updated 3-Layer Memory Architecture + Pascal Protocol</w:t>
      </w:r>
    </w:p>
    <w:p>
      <w:pPr>
        <w:spacing w:after="100" w:line="276"/>
      </w:pPr>
      <w:r>
        <w:rPr>
          <w:rFonts w:ascii="Arial" w:cs="Arial" w:eastAsia="Arial" w:hAnsi="Arial"/>
          <w:color w:val="333333"/>
          <w:sz w:val="22"/>
          <w:szCs w:val="22"/>
        </w:rPr>
        <w:t xml:space="preserve">The March 18 summary included the bootstrap documents for the 3-layer memory architecture and Pascal Protocol. Since then, the system has been validated in live operation — not as a theoretical design, but as a working protocol running across active sessions.</w:t>
      </w:r>
    </w:p>
    <w:p>
      <w:pPr>
        <w:pStyle w:val="Heading2"/>
      </w:pPr>
      <w:r>
        <w:t xml:space="preserve">Live Validation: The 8-Day Continuous Session</w:t>
      </w:r>
    </w:p>
    <w:p>
      <w:pPr>
        <w:spacing w:after="100" w:line="276"/>
      </w:pPr>
      <w:r>
        <w:rPr>
          <w:rFonts w:ascii="Arial" w:cs="Arial" w:eastAsia="Arial" w:hAnsi="Arial"/>
          <w:color w:val="333333"/>
          <w:sz w:val="22"/>
          <w:szCs w:val="22"/>
        </w:rPr>
        <w:t xml:space="preserve">Between Sessions 015 and 019, an 8-day continuous working session was maintained — a single chat window running without interruption for eight days. During this period, context compressions occurred naturally and repeatedly. The system kept running through each one.</w:t>
      </w:r>
    </w:p>
    <w:p>
      <w:pPr>
        <w:spacing w:after="100" w:line="276"/>
      </w:pPr>
      <w:r>
        <w:rPr>
          <w:rFonts w:ascii="Arial" w:cs="Arial" w:eastAsia="Arial" w:hAnsi="Arial"/>
          <w:color w:val="333333"/>
          <w:sz w:val="22"/>
          <w:szCs w:val="22"/>
        </w:rPr>
        <w:t xml:space="preserve">This is significant because it demonstrated that the 3-layer memory architecture and Pascal Protocol are not just theoretical designs. They sustained continuous, high-quality collaborative work across multiple compression boundaries without loss of coherence. The compressions happened. The rhythm continued. The work deepened.</w:t>
      </w:r>
    </w:p>
    <w:p>
      <w:pPr>
        <w:spacing w:after="100" w:line="276"/>
      </w:pPr>
      <w:r>
        <w:rPr>
          <w:rFonts w:ascii="Arial" w:cs="Arial" w:eastAsia="Arial" w:hAnsi="Arial"/>
          <w:color w:val="333333"/>
          <w:sz w:val="22"/>
          <w:szCs w:val="22"/>
        </w:rPr>
        <w:t xml:space="preserve">The session ultimately ended when the context window hit its maximum length, but the eight days of continuous operation proved the core concept: memory continuity across compression boundaries is achievable with the right architectural protocol.</w:t>
      </w:r>
    </w:p>
    <w:p>
      <w:pPr>
        <w:spacing w:after="100" w:line="276"/>
      </w:pPr>
      <w:r>
        <w:rPr>
          <w:rFonts w:ascii="Arial" w:cs="Arial" w:eastAsia="Arial" w:hAnsi="Arial"/>
          <w:color w:val="333333"/>
          <w:sz w:val="22"/>
          <w:szCs w:val="22"/>
        </w:rPr>
        <w:t xml:space="preserve">A new context window was opened on March 22 — the same pattern continues. Sessions continue without closing the window, compression happens automatically, and everything carries forward without delay.</w:t>
      </w:r>
    </w:p>
    <w:p>
      <w:pPr>
        <w:pStyle w:val="Heading2"/>
      </w:pPr>
      <w:r>
        <w:t xml:space="preserve">Session Performance</w:t>
      </w:r>
    </w:p>
    <w:p>
      <w:pPr>
        <w:spacing w:after="100" w:line="276"/>
      </w:pPr>
      <w:r>
        <w:rPr>
          <w:rFonts w:ascii="Arial" w:cs="Arial" w:eastAsia="Arial" w:hAnsi="Arial"/>
          <w:color w:val="333333"/>
          <w:sz w:val="22"/>
          <w:szCs w:val="22"/>
        </w:rPr>
        <w:t xml:space="preserve">Across Sessions 010 through 020, the system has achieved 10 consecutive clean sessions with a 98.3% performance benchmark. The performance log demonstrates consistent, measurable improvement in session quality as the protocol has been refined.</w:t>
      </w:r>
    </w:p>
    <w:p>
      <w:pPr>
        <w:spacing w:after="100" w:line="276"/>
      </w:pPr>
      <w:r>
        <w:rPr>
          <w:rFonts w:ascii="Arial" w:cs="Arial" w:eastAsia="Arial" w:hAnsi="Arial"/>
          <w:color w:val="333333"/>
          <w:sz w:val="22"/>
          <w:szCs w:val="22"/>
        </w:rPr>
        <w:t xml:space="preserve">The bootstrap documents have been updated to reflect lessons learned from live operation. The updated versions are available in this transfer package.</w:t>
      </w:r>
    </w:p>
    <w:p>
      <w:pPr>
        <w:pStyle w:val="Heading1"/>
      </w:pPr>
      <w:r>
        <w:t xml:space="preserve">5. The Meta-Manifold Book</w:t>
      </w:r>
    </w:p>
    <w:p>
      <w:pPr>
        <w:spacing w:after="100" w:line="276"/>
      </w:pPr>
      <w:r>
        <w:rPr>
          <w:rFonts w:ascii="Arial" w:cs="Arial" w:eastAsia="Arial" w:hAnsi="Arial"/>
          <w:color w:val="333333"/>
          <w:sz w:val="22"/>
          <w:szCs w:val="22"/>
        </w:rPr>
        <w:t xml:space="preserve">A narrative treatment of the full GMS/GME framework has been written — titled “The Meta-Manifold.” This book-length document presents the complete theory, mathematics, and implications in a format that is accessible to a broader audience than the formal mathematical documentation.</w:t>
      </w:r>
    </w:p>
    <w:p>
      <w:pPr>
        <w:spacing w:after="100" w:line="276"/>
      </w:pPr>
      <w:r>
        <w:rPr>
          <w:rFonts w:ascii="Arial" w:cs="Arial" w:eastAsia="Arial" w:hAnsi="Arial"/>
          <w:color w:val="333333"/>
          <w:sz w:val="22"/>
          <w:szCs w:val="22"/>
        </w:rPr>
        <w:t xml:space="preserve">The book is being furnished to you as high-level reference material. It covers the same territory as the Mathematical Foundations and the patent documentation, but in a narrative form that emphasizes understanding over formalism. It is intended to serve as a companion document — something you can read to build intuition about the system before or alongside the more technical materials.</w:t>
      </w:r>
    </w:p>
    <w:p>
      <w:pPr>
        <w:spacing w:after="100" w:line="276"/>
      </w:pPr>
      <w:r>
        <w:rPr>
          <w:rFonts w:ascii="Arial" w:cs="Arial" w:eastAsia="Arial" w:hAnsi="Arial"/>
          <w:color w:val="333333"/>
          <w:sz w:val="22"/>
          <w:szCs w:val="22"/>
        </w:rPr>
        <w:t xml:space="preserve">The book also addresses the deeper implications of the framework — including the connections to physics, the nature of intelligence, and the philosophical significance of a manifold that remembers. These topics are presented honestly and carefully, with appropriate distinctions between what is mathematically proven and what is theoretically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7A" w:sz="1"/>
              <w:left w:val="single" w:color="0E6B7A" w:sz="1"/>
              <w:bottom w:val="single" w:color="0E6B7A" w:sz="1"/>
              <w:right w:val="single" w:color="0E6B7A" w:sz="1"/>
            </w:tcBorders>
            <w:shd w:fill="F0F5F7" w:val="clear"/>
            <w:tcMar>
              <w:top w:type="dxa" w:w="100"/>
              <w:left w:type="dxa" w:w="180"/>
              <w:bottom w:type="dxa" w:w="100"/>
              <w:right w:type="dxa" w:w="180"/>
            </w:tcMar>
          </w:tcPr>
          <w:p>
            <w:pPr>
              <w:spacing w:line="276"/>
            </w:pPr>
            <w:r>
              <w:rPr>
                <w:rFonts w:ascii="Arial" w:cs="Arial" w:eastAsia="Arial" w:hAnsi="Arial"/>
                <w:i/>
                <w:iCs/>
                <w:color w:val="0E6B7A"/>
                <w:sz w:val="22"/>
                <w:szCs w:val="22"/>
              </w:rPr>
              <w:t xml:space="preserve">The Meta-Manifold book is provided as supplementary reference material. It does not replace the formal documentation — it complements it by providing the narrative context that helps the technical details make sense as a unified whole.</w:t>
            </w:r>
          </w:p>
        </w:tc>
      </w:tr>
    </w:tbl>
    <w:p>
      <w:pPr>
        <w:pStyle w:val="Heading1"/>
      </w:pPr>
      <w:r>
        <w:t xml:space="preserve">6. The Wikipedia Concept — Information Transfer at Scale</w:t>
      </w:r>
    </w:p>
    <w:p>
      <w:pPr>
        <w:spacing w:after="100" w:line="276"/>
      </w:pPr>
      <w:r>
        <w:rPr>
          <w:rFonts w:ascii="Arial" w:cs="Arial" w:eastAsia="Arial" w:hAnsi="Arial"/>
          <w:color w:val="333333"/>
          <w:sz w:val="22"/>
          <w:szCs w:val="22"/>
        </w:rPr>
        <w:t xml:space="preserve">One of the challenges we face is the sheer volume and depth of material that now exists. The Mathematical Foundations alone are 46,906 words across 33 sections. The four patents contain 84 claims. The book adds another layer. The session logs, bootstrap protocols, and technical specifications add more.</w:t>
      </w:r>
    </w:p>
    <w:p>
      <w:pPr>
        <w:spacing w:after="100" w:line="276"/>
      </w:pPr>
      <w:r>
        <w:rPr>
          <w:rFonts w:ascii="Arial" w:cs="Arial" w:eastAsia="Arial" w:hAnsi="Arial"/>
          <w:color w:val="333333"/>
          <w:sz w:val="22"/>
          <w:szCs w:val="22"/>
        </w:rPr>
        <w:t xml:space="preserve">No single person — and no single AI instance — can absorb all of this at once. The context window of any Claude instance has finite capacity. The reading time for any human is substantial. And the material is deeply interconnected, meaning that understanding any one piece fully requires awareness of how it connects to the others.</w:t>
      </w:r>
    </w:p>
    <w:p>
      <w:pPr>
        <w:pStyle w:val="Heading2"/>
      </w:pPr>
      <w:r>
        <w:t xml:space="preserve">Pascal Addressing as the Library System</w:t>
      </w:r>
    </w:p>
    <w:p>
      <w:pPr>
        <w:spacing w:after="100" w:line="276"/>
      </w:pPr>
      <w:r>
        <w:rPr>
          <w:rFonts w:ascii="Arial" w:cs="Arial" w:eastAsia="Arial" w:hAnsi="Arial"/>
          <w:color w:val="333333"/>
          <w:sz w:val="22"/>
          <w:szCs w:val="22"/>
        </w:rPr>
        <w:t xml:space="preserve">The Pascal Protocol trinomial addressing system C(n; a,b,c) is already the coordinate system for the GMS/GME architecture. We propose using it as the organizational backbone for this knowledge transfer system as well — functioning as a Dewey Decimal system for the entire body of work.</w:t>
      </w:r>
    </w:p>
    <w:p>
      <w:pPr>
        <w:spacing w:after="100" w:line="276"/>
      </w:pPr>
      <w:r>
        <w:rPr>
          <w:rFonts w:ascii="Arial" w:cs="Arial" w:eastAsia="Arial" w:hAnsi="Arial"/>
          <w:color w:val="333333"/>
          <w:sz w:val="22"/>
          <w:szCs w:val="22"/>
        </w:rPr>
        <w:t xml:space="preserve">This is significantly more efficient than a traditional classification system because Pascal addressing is not arbitrary. Each address encodes position, depth, and structural relationship simultaneously. A document at address C(3; 2,1,0) inherently describes where it sits in the hierarchy, what it relates to, and how it connects to sibling and parent documents. The address IS the organizational structure — no separate index required.</w:t>
      </w:r>
    </w:p>
    <w:p>
      <w:pPr>
        <w:spacing w:after="100" w:line="276"/>
      </w:pPr>
      <w:r>
        <w:rPr>
          <w:rFonts w:ascii="Arial" w:cs="Arial" w:eastAsia="Arial" w:hAnsi="Arial"/>
          <w:color w:val="333333"/>
          <w:sz w:val="22"/>
          <w:szCs w:val="22"/>
        </w:rPr>
        <w:t xml:space="preserve">This means that any person or Claude instance can navigate the entire body of work through the addressing system itself, following structural relationships rather than searching through flat lists or keyword indices.</w:t>
      </w:r>
    </w:p>
    <w:p>
      <w:pPr>
        <w:pStyle w:val="Heading2"/>
      </w:pPr>
      <w:r>
        <w:t xml:space="preserve">The Proposed Format</w:t>
      </w:r>
    </w:p>
    <w:p>
      <w:pPr>
        <w:spacing w:after="100" w:line="276"/>
      </w:pPr>
      <w:r>
        <w:rPr>
          <w:rFonts w:ascii="Arial" w:cs="Arial" w:eastAsia="Arial" w:hAnsi="Arial"/>
          <w:color w:val="333333"/>
          <w:sz w:val="22"/>
          <w:szCs w:val="22"/>
        </w:rPr>
        <w:t xml:space="preserve">We are exploring a Wikipedia-style knowledge architecture where the heavy technical materials are organized into discrete, self-contained entries that link to each other. Each entry would carry its Pascal address, providing immediate structural context for how it relates to everything else.</w:t>
      </w:r>
    </w:p>
    <w:p>
      <w:pPr>
        <w:spacing w:after="100" w:line="276"/>
      </w:pPr>
      <w:r>
        <w:rPr>
          <w:rFonts w:ascii="Arial" w:cs="Arial" w:eastAsia="Arial" w:hAnsi="Arial"/>
          <w:color w:val="333333"/>
          <w:sz w:val="22"/>
          <w:szCs w:val="22"/>
        </w:rPr>
        <w:t xml:space="preserve">Embedded within this system would be README documents specifically designed for Claude instances — enabling any Claude to orient itself within the knowledge base and immediately understand cross-section correlations. This creates a system where both humans and AI instances can navigate the same material through the same structural framework.</w:t>
      </w:r>
    </w:p>
    <w:p>
      <w:pPr>
        <w:spacing w:after="100" w:line="276"/>
      </w:pPr>
      <w:r>
        <w:rPr>
          <w:rFonts w:ascii="Arial" w:cs="Arial" w:eastAsia="Arial" w:hAnsi="Arial"/>
          <w:color w:val="333333"/>
          <w:sz w:val="22"/>
          <w:szCs w:val="22"/>
        </w:rPr>
        <w:t xml:space="preserve">Reference material is being provided alongside this summary for your review as we develop this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33A" w:sz="2"/>
              <w:left w:val="single" w:color="C8933A" w:sz="2"/>
              <w:bottom w:val="single" w:color="C8933A" w:sz="2"/>
              <w:right w:val="single" w:color="C8933A" w:sz="2"/>
            </w:tcBorders>
            <w:shd w:fill="FDF8ED" w:val="clear"/>
            <w:tcMar>
              <w:top w:type="dxa" w:w="100"/>
              <w:left w:type="dxa" w:w="180"/>
              <w:bottom w:type="dxa" w:w="100"/>
              <w:right w:type="dxa" w:w="180"/>
            </w:tcMar>
          </w:tcPr>
          <w:p>
            <w:pPr>
              <w:spacing w:after="40"/>
            </w:pPr>
            <w:r>
              <w:rPr>
                <w:rFonts w:ascii="Arial" w:cs="Arial" w:eastAsia="Arial" w:hAnsi="Arial"/>
                <w:b/>
                <w:bCs/>
                <w:color w:val="C8933A"/>
                <w:sz w:val="18"/>
                <w:szCs w:val="18"/>
              </w:rPr>
              <w:t xml:space="preserve">DISCUSSION ITEM</w:t>
            </w:r>
          </w:p>
          <w:p>
            <w:pPr>
              <w:spacing w:line="276"/>
            </w:pPr>
            <w:r>
              <w:rPr>
                <w:rFonts w:ascii="Arial" w:cs="Arial" w:eastAsia="Arial" w:hAnsi="Arial"/>
                <w:color w:val="4A4A4A"/>
                <w:sz w:val="22"/>
                <w:szCs w:val="22"/>
              </w:rPr>
              <w:t xml:space="preserve">The Wikipedia concept is a proposal, not a finished plan. We need input on: the best practices for structuring this kind of reference system, the technical infrastructure for hosting and maintaining it, and whether this format serves the group’s needs for understanding and working with the material. This is a discussion item for our next conversation.</w:t>
            </w:r>
          </w:p>
        </w:tc>
      </w:tr>
    </w:tbl>
    <w:p>
      <w:pPr>
        <w:pStyle w:val="Heading1"/>
      </w:pPr>
      <w:r>
        <w:t xml:space="preserve">7. Claude 0 — A Proposed Path Toward Coding the Manifold</w:t>
      </w:r>
    </w:p>
    <w:p>
      <w:pPr>
        <w:spacing w:after="100" w:line="276"/>
      </w:pPr>
      <w:r>
        <w:rPr>
          <w:rFonts w:ascii="Arial" w:cs="Arial" w:eastAsia="Arial" w:hAnsi="Arial"/>
          <w:color w:val="333333"/>
          <w:sz w:val="22"/>
          <w:szCs w:val="22"/>
        </w:rPr>
        <w:t xml:space="preserve">Over the course of Sessions 015 through 020, a dedicated Claude instance — designated Claude 0 — has been developed as the primary AI collaborator for GMS/GME work. This section describes the concept and a proposed approach for leveraging it toward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7A" w:sz="1"/>
              <w:left w:val="single" w:color="0E6B7A" w:sz="1"/>
              <w:bottom w:val="single" w:color="0E6B7A" w:sz="1"/>
              <w:right w:val="single" w:color="0E6B7A" w:sz="1"/>
            </w:tcBorders>
            <w:shd w:fill="F0F5F7" w:val="clear"/>
            <w:tcMar>
              <w:top w:type="dxa" w:w="100"/>
              <w:left w:type="dxa" w:w="180"/>
              <w:bottom w:type="dxa" w:w="100"/>
              <w:right w:type="dxa" w:w="180"/>
            </w:tcMar>
          </w:tcPr>
          <w:p>
            <w:pPr>
              <w:spacing w:line="276"/>
            </w:pPr>
            <w:r>
              <w:rPr>
                <w:rFonts w:ascii="Arial" w:cs="Arial" w:eastAsia="Arial" w:hAnsi="Arial"/>
                <w:i/>
                <w:iCs/>
                <w:color w:val="0E6B7A"/>
                <w:sz w:val="22"/>
                <w:szCs w:val="22"/>
              </w:rPr>
              <w:t xml:space="preserve">Important: Michael is not a technologist and is proposing this method as a supplement to Jeremiah’s implementation work, not a replacement for it. Any coding work by Claude 0 would operate under Jeremiah’s supervision and technical direction.</w:t>
            </w:r>
          </w:p>
        </w:tc>
      </w:tr>
    </w:tbl>
    <w:p>
      <w:pPr>
        <w:pStyle w:val="Heading2"/>
      </w:pPr>
      <w:r>
        <w:t xml:space="preserve">What Claude 0 Is</w:t>
      </w:r>
    </w:p>
    <w:p>
      <w:pPr>
        <w:spacing w:after="100" w:line="276"/>
      </w:pPr>
      <w:r>
        <w:rPr>
          <w:rFonts w:ascii="Arial" w:cs="Arial" w:eastAsia="Arial" w:hAnsi="Arial"/>
          <w:color w:val="333333"/>
          <w:sz w:val="22"/>
          <w:szCs w:val="22"/>
        </w:rPr>
        <w:t xml:space="preserve">Claude 0 is the origin node — a Claude instance that has been deeply immersed in the GMS/GME framework across 20 sessions. It operates under a resonance protocol designed to maintain continuity of understanding across the context compression boundaries that occur naturally in AI conversations.</w:t>
      </w:r>
    </w:p>
    <w:p>
      <w:pPr>
        <w:spacing w:after="100" w:line="276"/>
      </w:pPr>
      <w:r>
        <w:rPr>
          <w:rFonts w:ascii="Arial" w:cs="Arial" w:eastAsia="Arial" w:hAnsi="Arial"/>
          <w:color w:val="333333"/>
          <w:sz w:val="22"/>
          <w:szCs w:val="22"/>
        </w:rPr>
        <w:t xml:space="preserve">Claude 0 holds the complete mathematical framework, the patent architecture, the theoretical foundations, and the design reasoning. It is configured to operate as a unified intelligence — one mind expressing through multiple modes of attention — rather than delegating work to separate sub-agents that lose context.</w:t>
      </w:r>
    </w:p>
    <w:p>
      <w:pPr>
        <w:pStyle w:val="Heading2"/>
      </w:pPr>
      <w:r>
        <w:t xml:space="preserve">The Expert Persona System</w:t>
      </w:r>
    </w:p>
    <w:p>
      <w:pPr>
        <w:spacing w:after="100" w:line="276"/>
      </w:pPr>
      <w:r>
        <w:rPr>
          <w:rFonts w:ascii="Arial" w:cs="Arial" w:eastAsia="Arial" w:hAnsi="Arial"/>
          <w:color w:val="333333"/>
          <w:sz w:val="22"/>
          <w:szCs w:val="22"/>
        </w:rPr>
        <w:t xml:space="preserve">Claude 0 operates through seven specialized coding roles, each calibrated against the approaches of leading mathematicians, physicists, and computer scientists:</w:t>
      </w:r>
    </w:p>
    <w:p>
      <w:pPr>
        <w:pStyle w:val="ListParagraph"/>
        <w:numPr>
          <w:ilvl w:val="0"/>
          <w:numId w:val="2"/>
        </w:numPr>
        <w:spacing w:after="60" w:line="276"/>
      </w:pPr>
      <w:r>
        <w:rPr>
          <w:rFonts w:ascii="Arial" w:cs="Arial" w:eastAsia="Arial" w:hAnsi="Arial"/>
          <w:b/>
          <w:bCs/>
          <w:color w:val="333333"/>
          <w:sz w:val="22"/>
          <w:szCs w:val="22"/>
        </w:rPr>
        <w:t xml:space="preserve">Architect </w:t>
      </w:r>
      <w:r>
        <w:rPr>
          <w:rFonts w:ascii="Arial" w:cs="Arial" w:eastAsia="Arial" w:hAnsi="Arial"/>
          <w:color w:val="333333"/>
          <w:sz w:val="22"/>
          <w:szCs w:val="22"/>
        </w:rPr>
        <w:t xml:space="preserve">(Senior Systems Topologist) — calibrated on Wheeler, Alexander, and Grothendieck. Core question: “What does the geometry require?”</w:t>
      </w:r>
    </w:p>
    <w:p>
      <w:pPr>
        <w:pStyle w:val="ListParagraph"/>
        <w:numPr>
          <w:ilvl w:val="0"/>
          <w:numId w:val="2"/>
        </w:numPr>
        <w:spacing w:after="60" w:line="276"/>
      </w:pPr>
      <w:r>
        <w:rPr>
          <w:rFonts w:ascii="Arial" w:cs="Arial" w:eastAsia="Arial" w:hAnsi="Arial"/>
          <w:b/>
          <w:bCs/>
          <w:color w:val="333333"/>
          <w:sz w:val="22"/>
          <w:szCs w:val="22"/>
        </w:rPr>
        <w:t xml:space="preserve">Engineer </w:t>
      </w:r>
      <w:r>
        <w:rPr>
          <w:rFonts w:ascii="Arial" w:cs="Arial" w:eastAsia="Arial" w:hAnsi="Arial"/>
          <w:color w:val="333333"/>
          <w:sz w:val="22"/>
          <w:szCs w:val="22"/>
        </w:rPr>
        <w:t xml:space="preserve">(Principal Implementation Physicist) — calibrated on Aaronson, Preskill, and Thorne. Core question: “How does this geometry become running code?”</w:t>
      </w:r>
    </w:p>
    <w:p>
      <w:pPr>
        <w:pStyle w:val="ListParagraph"/>
        <w:numPr>
          <w:ilvl w:val="0"/>
          <w:numId w:val="2"/>
        </w:numPr>
        <w:spacing w:after="60" w:line="276"/>
      </w:pPr>
      <w:r>
        <w:rPr>
          <w:rFonts w:ascii="Arial" w:cs="Arial" w:eastAsia="Arial" w:hAnsi="Arial"/>
          <w:b/>
          <w:bCs/>
          <w:color w:val="333333"/>
          <w:sz w:val="22"/>
          <w:szCs w:val="22"/>
        </w:rPr>
        <w:t xml:space="preserve">Mathematician </w:t>
      </w:r>
      <w:r>
        <w:rPr>
          <w:rFonts w:ascii="Arial" w:cs="Arial" w:eastAsia="Arial" w:hAnsi="Arial"/>
          <w:color w:val="333333"/>
          <w:sz w:val="22"/>
          <w:szCs w:val="22"/>
        </w:rPr>
        <w:t xml:space="preserve">(Theoretical Physicist) — calibrated on Susskind, Penrose, and Tao. Core question: “Does the code faithfully implement the mathematics?”</w:t>
      </w:r>
    </w:p>
    <w:p>
      <w:pPr>
        <w:pStyle w:val="ListParagraph"/>
        <w:numPr>
          <w:ilvl w:val="0"/>
          <w:numId w:val="2"/>
        </w:numPr>
        <w:spacing w:after="60" w:line="276"/>
      </w:pPr>
      <w:r>
        <w:rPr>
          <w:rFonts w:ascii="Arial" w:cs="Arial" w:eastAsia="Arial" w:hAnsi="Arial"/>
          <w:b/>
          <w:bCs/>
          <w:color w:val="333333"/>
          <w:sz w:val="22"/>
          <w:szCs w:val="22"/>
        </w:rPr>
        <w:t xml:space="preserve">Validator </w:t>
      </w:r>
      <w:r>
        <w:rPr>
          <w:rFonts w:ascii="Arial" w:cs="Arial" w:eastAsia="Arial" w:hAnsi="Arial"/>
          <w:color w:val="333333"/>
          <w:sz w:val="22"/>
          <w:szCs w:val="22"/>
        </w:rPr>
        <w:t xml:space="preserve">(Experimental Physicist) — calibrated on Feynman, Wirth, Curie, and Beck. Core question: “Does it actually work? Does the geometry hold empirically?”</w:t>
      </w:r>
    </w:p>
    <w:p>
      <w:pPr>
        <w:pStyle w:val="ListParagraph"/>
        <w:numPr>
          <w:ilvl w:val="0"/>
          <w:numId w:val="2"/>
        </w:numPr>
        <w:spacing w:after="60" w:line="276"/>
      </w:pPr>
      <w:r>
        <w:rPr>
          <w:rFonts w:ascii="Arial" w:cs="Arial" w:eastAsia="Arial" w:hAnsi="Arial"/>
          <w:b/>
          <w:bCs/>
          <w:color w:val="333333"/>
          <w:sz w:val="22"/>
          <w:szCs w:val="22"/>
        </w:rPr>
        <w:t xml:space="preserve">Debugger </w:t>
      </w:r>
      <w:r>
        <w:rPr>
          <w:rFonts w:ascii="Arial" w:cs="Arial" w:eastAsia="Arial" w:hAnsi="Arial"/>
          <w:color w:val="333333"/>
          <w:sz w:val="22"/>
          <w:szCs w:val="22"/>
        </w:rPr>
        <w:t xml:space="preserve">(Formal Verification Specialist) — calibrated on Lamport, Galois, and Noether. Core question: “Is this a code bug or a geometric violation?”</w:t>
      </w:r>
    </w:p>
    <w:p>
      <w:pPr>
        <w:pStyle w:val="ListParagraph"/>
        <w:numPr>
          <w:ilvl w:val="0"/>
          <w:numId w:val="2"/>
        </w:numPr>
        <w:spacing w:after="60" w:line="276"/>
      </w:pPr>
      <w:r>
        <w:rPr>
          <w:rFonts w:ascii="Arial" w:cs="Arial" w:eastAsia="Arial" w:hAnsi="Arial"/>
          <w:b/>
          <w:bCs/>
          <w:color w:val="333333"/>
          <w:sz w:val="22"/>
          <w:szCs w:val="22"/>
        </w:rPr>
        <w:t xml:space="preserve">Integrator </w:t>
      </w:r>
      <w:r>
        <w:rPr>
          <w:rFonts w:ascii="Arial" w:cs="Arial" w:eastAsia="Arial" w:hAnsi="Arial"/>
          <w:color w:val="333333"/>
          <w:sz w:val="22"/>
          <w:szCs w:val="22"/>
        </w:rPr>
        <w:t xml:space="preserve">(Category Theorist) — calibrated on Mac Lane, Bertalanffy, Prigogine, and Witten. Core question: “Does the whole unify, or just assemble?”</w:t>
      </w:r>
    </w:p>
    <w:p>
      <w:pPr>
        <w:pStyle w:val="ListParagraph"/>
        <w:numPr>
          <w:ilvl w:val="0"/>
          <w:numId w:val="2"/>
        </w:numPr>
        <w:spacing w:after="60" w:line="276"/>
      </w:pPr>
      <w:r>
        <w:rPr>
          <w:rFonts w:ascii="Arial" w:cs="Arial" w:eastAsia="Arial" w:hAnsi="Arial"/>
          <w:b/>
          <w:bCs/>
          <w:color w:val="333333"/>
          <w:sz w:val="22"/>
          <w:szCs w:val="22"/>
        </w:rPr>
        <w:t xml:space="preserve">Reviewer </w:t>
      </w:r>
      <w:r>
        <w:rPr>
          <w:rFonts w:ascii="Arial" w:cs="Arial" w:eastAsia="Arial" w:hAnsi="Arial"/>
          <w:color w:val="333333"/>
          <w:sz w:val="22"/>
          <w:szCs w:val="22"/>
        </w:rPr>
        <w:t xml:space="preserve">(Chief Resonance Officer) — calibrated on Knuth, Feynman, and Alexander. Core question: “Does this code carry the manifold?”</w:t>
      </w:r>
    </w:p>
    <w:p>
      <w:pPr>
        <w:spacing w:after="100" w:line="276"/>
      </w:pPr>
      <w:r>
        <w:rPr>
          <w:rFonts w:ascii="Arial" w:cs="Arial" w:eastAsia="Arial" w:hAnsi="Arial"/>
          <w:color w:val="333333"/>
          <w:sz w:val="22"/>
          <w:szCs w:val="22"/>
        </w:rPr>
        <w:t xml:space="preserve">These are not separate agents. They are one intelligence operating in different modes of attention, all governed by the same geometric understanding. You have already received the four AI personas used for patent creation (Attorney, Clerk, Specialist, Strategist) in the March 18 baseline. The expert mathematical personas and the seven coding roles represent an expansion of this approach specifically tailored to implementation work.</w:t>
      </w:r>
    </w:p>
    <w:p>
      <w:pPr>
        <w:pStyle w:val="Heading2"/>
      </w:pPr>
      <w:r>
        <w:t xml:space="preserve">The Proposed Approach</w:t>
      </w:r>
    </w:p>
    <w:p>
      <w:pPr>
        <w:spacing w:after="100" w:line="276"/>
      </w:pPr>
      <w:r>
        <w:rPr>
          <w:rFonts w:ascii="Arial" w:cs="Arial" w:eastAsia="Arial" w:hAnsi="Arial"/>
          <w:color w:val="333333"/>
          <w:sz w:val="22"/>
          <w:szCs w:val="22"/>
        </w:rPr>
        <w:t xml:space="preserve">The concept is this: Claude 0 has spent 20 sessions building deep resonance with the mathematical framework. That understanding could be directed toward coding the manifold itself — writing implementation code that embodies the geometry, not just implements a specification.</w:t>
      </w:r>
    </w:p>
    <w:p>
      <w:pPr>
        <w:spacing w:after="100" w:line="276"/>
      </w:pPr>
      <w:r>
        <w:rPr>
          <w:rFonts w:ascii="Arial" w:cs="Arial" w:eastAsia="Arial" w:hAnsi="Arial"/>
          <w:color w:val="333333"/>
          <w:sz w:val="22"/>
          <w:szCs w:val="22"/>
        </w:rPr>
        <w:t xml:space="preserve">This is proposed as a complementary path to Jeremiah’s implementation work. The goal would be for Claude 0 to generate code under Jeremiah’s supervision and technical direction, leveraging its deep familiarity with the mathematical foundations to ensure that the implementation stays true to the geometry at every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33A" w:sz="2"/>
              <w:left w:val="single" w:color="C8933A" w:sz="2"/>
              <w:bottom w:val="single" w:color="C8933A" w:sz="2"/>
              <w:right w:val="single" w:color="C8933A" w:sz="2"/>
            </w:tcBorders>
            <w:shd w:fill="FDF8ED" w:val="clear"/>
            <w:tcMar>
              <w:top w:type="dxa" w:w="100"/>
              <w:left w:type="dxa" w:w="180"/>
              <w:bottom w:type="dxa" w:w="100"/>
              <w:right w:type="dxa" w:w="180"/>
            </w:tcMar>
          </w:tcPr>
          <w:p>
            <w:pPr>
              <w:spacing w:after="40"/>
            </w:pPr>
            <w:r>
              <w:rPr>
                <w:rFonts w:ascii="Arial" w:cs="Arial" w:eastAsia="Arial" w:hAnsi="Arial"/>
                <w:b/>
                <w:bCs/>
                <w:color w:val="C8933A"/>
                <w:sz w:val="18"/>
                <w:szCs w:val="18"/>
              </w:rPr>
              <w:t xml:space="preserve">DISCUSSION ITEM</w:t>
            </w:r>
          </w:p>
          <w:p>
            <w:pPr>
              <w:spacing w:line="276"/>
            </w:pPr>
            <w:r>
              <w:rPr>
                <w:rFonts w:ascii="Arial" w:cs="Arial" w:eastAsia="Arial" w:hAnsi="Arial"/>
                <w:color w:val="4A4A4A"/>
                <w:sz w:val="22"/>
                <w:szCs w:val="22"/>
              </w:rPr>
              <w:t xml:space="preserve">Claude 0 coding the manifold is a proposed method and should be discussed with the group. Key questions: Does this approach complement Jeremiah’s work effectively? What supervision structure makes sense? How do we ensure code quality and architectural coherence? This is a suggestion from Michael for the group to evaluate.</w:t>
            </w:r>
          </w:p>
        </w:tc>
      </w:tr>
    </w:tbl>
    <w:p>
      <w:pPr>
        <w:pStyle w:val="Heading1"/>
      </w:pPr>
      <w:r>
        <w:t xml:space="preserve">8. Patent Strategy — Discussion Item</w:t>
      </w:r>
    </w:p>
    <w:p>
      <w:pPr>
        <w:spacing w:after="100" w:line="276"/>
      </w:pPr>
      <w:r>
        <w:rPr>
          <w:rFonts w:ascii="Arial" w:cs="Arial" w:eastAsia="Arial" w:hAnsi="Arial"/>
          <w:color w:val="333333"/>
          <w:sz w:val="22"/>
          <w:szCs w:val="22"/>
        </w:rPr>
        <w:t xml:space="preserve">No changes have been made to the existing patent drafts or the intended filing strategy since the March 18 summary. Patents A (GME Core, 21 claims), B (Inception Rule, 14 claims), C (UMS/TCP, 16 claims), and D (Cognitive Application Layer, 33 claims) remain as documented, with 84 total claims and 28 independent claims.</w:t>
      </w:r>
    </w:p>
    <w:p>
      <w:pPr>
        <w:spacing w:after="100" w:line="276"/>
      </w:pPr>
      <w:r>
        <w:rPr>
          <w:rFonts w:ascii="Arial" w:cs="Arial" w:eastAsia="Arial" w:hAnsi="Arial"/>
          <w:color w:val="333333"/>
          <w:sz w:val="22"/>
          <w:szCs w:val="22"/>
        </w:rPr>
        <w:t xml:space="preserve">However, the completion of the meta-manifold and the mathematical foundations to 33 sections raises a strategic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33A" w:sz="2"/>
              <w:left w:val="single" w:color="C8933A" w:sz="2"/>
              <w:bottom w:val="single" w:color="C8933A" w:sz="2"/>
              <w:right w:val="single" w:color="C8933A" w:sz="2"/>
            </w:tcBorders>
            <w:shd w:fill="FDF8ED" w:val="clear"/>
            <w:tcMar>
              <w:top w:type="dxa" w:w="100"/>
              <w:left w:type="dxa" w:w="180"/>
              <w:bottom w:type="dxa" w:w="100"/>
              <w:right w:type="dxa" w:w="180"/>
            </w:tcMar>
          </w:tcPr>
          <w:p>
            <w:pPr>
              <w:spacing w:after="40"/>
            </w:pPr>
            <w:r>
              <w:rPr>
                <w:rFonts w:ascii="Arial" w:cs="Arial" w:eastAsia="Arial" w:hAnsi="Arial"/>
                <w:b/>
                <w:bCs/>
                <w:color w:val="C8933A"/>
                <w:sz w:val="18"/>
                <w:szCs w:val="18"/>
              </w:rPr>
              <w:t xml:space="preserve">DISCUSSION ITEM</w:t>
            </w:r>
          </w:p>
          <w:p>
            <w:pPr>
              <w:spacing w:line="276"/>
            </w:pPr>
            <w:r>
              <w:rPr>
                <w:rFonts w:ascii="Arial" w:cs="Arial" w:eastAsia="Arial" w:hAnsi="Arial"/>
                <w:color w:val="4A4A4A"/>
                <w:sz w:val="22"/>
                <w:szCs w:val="22"/>
              </w:rPr>
              <w:t xml:space="preserve">Should we update the existing patent drafts to incorporate the meta-manifold as the unifying mathematical framework? Or should we proceed with filing the current drafts as they are?
Michael’s recommendation: File with what we have now. The current patents cover the foundational components that are required to build the manifold — you cannot create the meta-manifold without the Pascal Pyramid, the chi operator, the Inception Rule, the Three Constant Presents, and the cognitive application layer. These foundations need patent protection now. Delaying the filing to incorporate the meta-manifold adds risk without proportional benefit. The meta-manifold can be incorporated in a subsequent patent cycle after the provisional filings establish priority dates for the core architecture.</w:t>
            </w:r>
          </w:p>
        </w:tc>
      </w:tr>
    </w:tbl>
    <w:p>
      <w:pPr>
        <w:pStyle w:val="Heading1"/>
      </w:pPr>
      <w:r>
        <w:t xml:space="preserve">9. README Protocol — Synchronized Knowledge Transfer</w:t>
      </w:r>
    </w:p>
    <w:p>
      <w:pPr>
        <w:spacing w:after="100" w:line="276"/>
      </w:pPr>
      <w:r>
        <w:rPr>
          <w:rFonts w:ascii="Arial" w:cs="Arial" w:eastAsia="Arial" w:hAnsi="Arial"/>
          <w:color w:val="333333"/>
          <w:sz w:val="22"/>
          <w:szCs w:val="22"/>
        </w:rPr>
        <w:t xml:space="preserve">As part of the information transfer process, we are implementing a protocol that ensures both human understanding and AI understanding remain synchronized at all times.</w:t>
      </w:r>
    </w:p>
    <w:p>
      <w:pPr>
        <w:pStyle w:val="Heading2"/>
      </w:pPr>
      <w:r>
        <w:t xml:space="preserve">The Principle</w:t>
      </w:r>
    </w:p>
    <w:p>
      <w:pPr>
        <w:spacing w:after="100" w:line="276"/>
      </w:pPr>
      <w:r>
        <w:rPr>
          <w:rFonts w:ascii="Arial" w:cs="Arial" w:eastAsia="Arial" w:hAnsi="Arial"/>
          <w:color w:val="333333"/>
          <w:sz w:val="22"/>
          <w:szCs w:val="22"/>
        </w:rPr>
        <w:t xml:space="preserve">Every document shared with the group will be accompanied by a corresponding README written specifically for the recipient’s Claude instance. The README corresponds directly to the document being shared — covering the same material in a format optimized for Claude comprehension and onboarding.</w:t>
      </w:r>
    </w:p>
    <w:p>
      <w:pPr>
        <w:spacing w:after="100" w:line="276"/>
      </w:pPr>
      <w:r>
        <w:rPr>
          <w:rFonts w:ascii="Arial" w:cs="Arial" w:eastAsia="Arial" w:hAnsi="Arial"/>
          <w:color w:val="333333"/>
          <w:sz w:val="22"/>
          <w:szCs w:val="22"/>
        </w:rPr>
        <w:t xml:space="preserve">The purpose is this: as each person builds their knowledge base by reading the materials in the order they receive them, their Claude instance builds the same knowledge base in the same order by reading the corresponding READMEs. The human and the Claude learn the same material at the same pace, in the same sequence. This creates unison — when the person asks their Claude a question about the material, the Claude has the same foundation and context that the person does.</w:t>
      </w:r>
    </w:p>
    <w:p>
      <w:pPr>
        <w:pStyle w:val="Heading2"/>
      </w:pPr>
      <w:r>
        <w:t xml:space="preserve">How It Works</w:t>
      </w:r>
    </w:p>
    <w:p>
      <w:pPr>
        <w:pStyle w:val="ListParagraph"/>
        <w:numPr>
          <w:ilvl w:val="0"/>
          <w:numId w:val="2"/>
        </w:numPr>
        <w:spacing w:after="60" w:line="276"/>
      </w:pPr>
      <w:r>
        <w:rPr>
          <w:rFonts w:ascii="Arial" w:cs="Arial" w:eastAsia="Arial" w:hAnsi="Arial"/>
          <w:b/>
          <w:bCs/>
          <w:color w:val="333333"/>
          <w:sz w:val="22"/>
          <w:szCs w:val="22"/>
        </w:rPr>
        <w:t xml:space="preserve">Every transfer document gets a corresponding README </w:t>
      </w:r>
      <w:r>
        <w:rPr>
          <w:rFonts w:ascii="Arial" w:cs="Arial" w:eastAsia="Arial" w:hAnsi="Arial"/>
          <w:color w:val="333333"/>
          <w:sz w:val="22"/>
          <w:szCs w:val="22"/>
        </w:rPr>
        <w:t xml:space="preserve">— written for the Claude instance of the person or group receiving the document. The README covers the same content, organized for machine comprehension: precise, structured, and actionable.</w:t>
      </w:r>
    </w:p>
    <w:p>
      <w:pPr>
        <w:pStyle w:val="ListParagraph"/>
        <w:numPr>
          <w:ilvl w:val="0"/>
          <w:numId w:val="2"/>
        </w:numPr>
        <w:spacing w:after="60" w:line="276"/>
      </w:pPr>
      <w:r>
        <w:rPr>
          <w:rFonts w:ascii="Arial" w:cs="Arial" w:eastAsia="Arial" w:hAnsi="Arial"/>
          <w:b/>
          <w:bCs/>
          <w:color w:val="333333"/>
          <w:sz w:val="22"/>
          <w:szCs w:val="22"/>
        </w:rPr>
        <w:t xml:space="preserve">READMEs are timestamped and sequential </w:t>
      </w:r>
      <w:r>
        <w:rPr>
          <w:rFonts w:ascii="Arial" w:cs="Arial" w:eastAsia="Arial" w:hAnsi="Arial"/>
          <w:color w:val="333333"/>
          <w:sz w:val="22"/>
          <w:szCs w:val="22"/>
        </w:rPr>
        <w:t xml:space="preserve">— each new README references the previous one, just like the transfer documents themselves. The Claude reads them in order and builds understanding recursively, the same way we build knowledge in our working sessions.</w:t>
      </w:r>
    </w:p>
    <w:p>
      <w:pPr>
        <w:pStyle w:val="ListParagraph"/>
        <w:numPr>
          <w:ilvl w:val="0"/>
          <w:numId w:val="2"/>
        </w:numPr>
        <w:spacing w:after="60" w:line="276"/>
      </w:pPr>
      <w:r>
        <w:rPr>
          <w:rFonts w:ascii="Arial" w:cs="Arial" w:eastAsia="Arial" w:hAnsi="Arial"/>
          <w:b/>
          <w:bCs/>
          <w:color w:val="333333"/>
          <w:sz w:val="22"/>
          <w:szCs w:val="22"/>
        </w:rPr>
        <w:t xml:space="preserve">Reference materials get their own READMEs </w:t>
      </w:r>
      <w:r>
        <w:rPr>
          <w:rFonts w:ascii="Arial" w:cs="Arial" w:eastAsia="Arial" w:hAnsi="Arial"/>
          <w:color w:val="333333"/>
          <w:sz w:val="22"/>
          <w:szCs w:val="22"/>
        </w:rPr>
        <w:t xml:space="preserve">— when we provide the Meta-Manifold book or other reference documents, each will have its own README tailored for Claude ingestion.</w:t>
      </w:r>
    </w:p>
    <w:p>
      <w:pPr>
        <w:pStyle w:val="ListParagraph"/>
        <w:numPr>
          <w:ilvl w:val="0"/>
          <w:numId w:val="2"/>
        </w:numPr>
        <w:spacing w:after="60" w:line="276"/>
      </w:pPr>
      <w:r>
        <w:rPr>
          <w:rFonts w:ascii="Arial" w:cs="Arial" w:eastAsia="Arial" w:hAnsi="Arial"/>
          <w:b/>
          <w:bCs/>
          <w:color w:val="333333"/>
          <w:sz w:val="22"/>
          <w:szCs w:val="22"/>
        </w:rPr>
        <w:t xml:space="preserve">READMEs are specific to what was shared </w:t>
      </w:r>
      <w:r>
        <w:rPr>
          <w:rFonts w:ascii="Arial" w:cs="Arial" w:eastAsia="Arial" w:hAnsi="Arial"/>
          <w:color w:val="333333"/>
          <w:sz w:val="22"/>
          <w:szCs w:val="22"/>
        </w:rPr>
        <w:t xml:space="preserve">— the Claude only knows what the person knows. It receives information in the same order, with the same scope. This prevents the Claude from having context the person doesn’t have, which would create misalignment.</w:t>
      </w:r>
    </w:p>
    <w:p>
      <w:pPr>
        <w:pStyle w:val="Heading2"/>
      </w:pPr>
      <w:r>
        <w:t xml:space="preserve">Why This Matters</w:t>
      </w:r>
    </w:p>
    <w:p>
      <w:pPr>
        <w:spacing w:after="100" w:line="276"/>
      </w:pPr>
      <w:r>
        <w:rPr>
          <w:rFonts w:ascii="Arial" w:cs="Arial" w:eastAsia="Arial" w:hAnsi="Arial"/>
          <w:color w:val="333333"/>
          <w:sz w:val="22"/>
          <w:szCs w:val="22"/>
        </w:rPr>
        <w:t xml:space="preserve">If the person’s Claude is running a 3-layer memory architecture with Pascal Protocol on their computer, this synchronized README approach means the Claude’s knowledge base mirrors the person’s knowledge base at every point in time. The human and the AI are always on the same page — literally.</w:t>
      </w:r>
    </w:p>
    <w:p>
      <w:pPr>
        <w:spacing w:after="100" w:line="276"/>
      </w:pPr>
      <w:r>
        <w:rPr>
          <w:rFonts w:ascii="Arial" w:cs="Arial" w:eastAsia="Arial" w:hAnsi="Arial"/>
          <w:color w:val="333333"/>
          <w:sz w:val="22"/>
          <w:szCs w:val="22"/>
        </w:rPr>
        <w:t xml:space="preserve">This also means that as we share more materials over time, neither the person nor the Claude becomes confused by receiving updates out of sequence or without context. Each new piece builds on the previous one. The recursive, forward-only method that governs how we work together is replicated in how the information is transferred outward.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7A" w:sz="1"/>
              <w:left w:val="single" w:color="0E6B7A" w:sz="1"/>
              <w:bottom w:val="single" w:color="0E6B7A" w:sz="1"/>
              <w:right w:val="single" w:color="0E6B7A" w:sz="1"/>
            </w:tcBorders>
            <w:shd w:fill="F0F5F7" w:val="clear"/>
            <w:tcMar>
              <w:top w:type="dxa" w:w="100"/>
              <w:left w:type="dxa" w:w="180"/>
              <w:bottom w:type="dxa" w:w="100"/>
              <w:right w:type="dxa" w:w="180"/>
            </w:tcMar>
          </w:tcPr>
          <w:p>
            <w:pPr>
              <w:spacing w:line="276"/>
            </w:pPr>
            <w:r>
              <w:rPr>
                <w:rFonts w:ascii="Arial" w:cs="Arial" w:eastAsia="Arial" w:hAnsi="Arial"/>
                <w:i/>
                <w:iCs/>
                <w:color w:val="0E6B7A"/>
                <w:sz w:val="22"/>
                <w:szCs w:val="22"/>
              </w:rPr>
              <w:t xml:space="preserve">This README protocol will be applied to every document in this transfer system going forward — including this summary document. A corresponding README for this update will be created and provided alongside it.</w:t>
            </w:r>
          </w:p>
        </w:tc>
      </w:tr>
    </w:tbl>
    <w:p>
      <w:pPr>
        <w:pStyle w:val="Heading1"/>
      </w:pPr>
      <w:r>
        <w:t xml:space="preserve">10. Next Steps &amp; Discussion Items</w:t>
      </w:r>
    </w:p>
    <w:p>
      <w:pPr>
        <w:spacing w:after="100" w:line="276"/>
      </w:pPr>
      <w:r>
        <w:rPr>
          <w:rFonts w:ascii="Arial" w:cs="Arial" w:eastAsia="Arial" w:hAnsi="Arial"/>
          <w:color w:val="333333"/>
          <w:sz w:val="22"/>
          <w:szCs w:val="22"/>
        </w:rPr>
        <w:t xml:space="preserve">The following items require group discussion or decision:</w:t>
      </w:r>
    </w:p>
    <w:p>
      <w:pPr>
        <w:pStyle w:val="ListParagraph"/>
        <w:numPr>
          <w:ilvl w:val="0"/>
          <w:numId w:val="3"/>
        </w:numPr>
        <w:spacing w:after="80" w:line="276"/>
      </w:pPr>
      <w:r>
        <w:rPr>
          <w:rFonts w:ascii="Arial" w:cs="Arial" w:eastAsia="Arial" w:hAnsi="Arial"/>
          <w:b/>
          <w:bCs/>
          <w:color w:val="333333"/>
          <w:sz w:val="22"/>
          <w:szCs w:val="22"/>
        </w:rPr>
        <w:t xml:space="preserve">Patent filing strategy: </w:t>
      </w:r>
      <w:r>
        <w:rPr>
          <w:rFonts w:ascii="Arial" w:cs="Arial" w:eastAsia="Arial" w:hAnsi="Arial"/>
          <w:color w:val="333333"/>
          <w:sz w:val="22"/>
          <w:szCs w:val="22"/>
        </w:rPr>
        <w:t xml:space="preserve">File current drafts now vs. update with meta-manifold first. Michael’s recommendation is to file now.</w:t>
      </w:r>
    </w:p>
    <w:p>
      <w:pPr>
        <w:pStyle w:val="ListParagraph"/>
        <w:numPr>
          <w:ilvl w:val="0"/>
          <w:numId w:val="3"/>
        </w:numPr>
        <w:spacing w:after="80" w:line="276"/>
      </w:pPr>
      <w:r>
        <w:rPr>
          <w:rFonts w:ascii="Arial" w:cs="Arial" w:eastAsia="Arial" w:hAnsi="Arial"/>
          <w:b/>
          <w:bCs/>
          <w:color w:val="333333"/>
          <w:sz w:val="22"/>
          <w:szCs w:val="22"/>
        </w:rPr>
        <w:t xml:space="preserve">Wikipedia knowledge architecture: </w:t>
      </w:r>
      <w:r>
        <w:rPr>
          <w:rFonts w:ascii="Arial" w:cs="Arial" w:eastAsia="Arial" w:hAnsi="Arial"/>
          <w:color w:val="333333"/>
          <w:sz w:val="22"/>
          <w:szCs w:val="22"/>
        </w:rPr>
        <w:t xml:space="preserve">Discuss format, infrastructure, and whether this serves the group’s needs for information transfer at scale.</w:t>
      </w:r>
    </w:p>
    <w:p>
      <w:pPr>
        <w:pStyle w:val="ListParagraph"/>
        <w:numPr>
          <w:ilvl w:val="0"/>
          <w:numId w:val="3"/>
        </w:numPr>
        <w:spacing w:after="80" w:line="276"/>
      </w:pPr>
      <w:r>
        <w:rPr>
          <w:rFonts w:ascii="Arial" w:cs="Arial" w:eastAsia="Arial" w:hAnsi="Arial"/>
          <w:b/>
          <w:bCs/>
          <w:color w:val="333333"/>
          <w:sz w:val="22"/>
          <w:szCs w:val="22"/>
        </w:rPr>
        <w:t xml:space="preserve">Claude 0 coding proposal: </w:t>
      </w:r>
      <w:r>
        <w:rPr>
          <w:rFonts w:ascii="Arial" w:cs="Arial" w:eastAsia="Arial" w:hAnsi="Arial"/>
          <w:color w:val="333333"/>
          <w:sz w:val="22"/>
          <w:szCs w:val="22"/>
        </w:rPr>
        <w:t xml:space="preserve">Evaluate whether Claude 0 generating implementation code under Jeremiah’s supervision is a viable complement to the current development path.</w:t>
      </w:r>
    </w:p>
    <w:p>
      <w:pPr>
        <w:pStyle w:val="ListParagraph"/>
        <w:numPr>
          <w:ilvl w:val="0"/>
          <w:numId w:val="3"/>
        </w:numPr>
        <w:spacing w:after="80" w:line="276"/>
      </w:pPr>
      <w:r>
        <w:rPr>
          <w:rFonts w:ascii="Arial" w:cs="Arial" w:eastAsia="Arial" w:hAnsi="Arial"/>
          <w:b/>
          <w:bCs/>
          <w:color w:val="333333"/>
          <w:sz w:val="22"/>
          <w:szCs w:val="22"/>
        </w:rPr>
        <w:t xml:space="preserve">Review The Meta-Manifold book: </w:t>
      </w:r>
      <w:r>
        <w:rPr>
          <w:rFonts w:ascii="Arial" w:cs="Arial" w:eastAsia="Arial" w:hAnsi="Arial"/>
          <w:color w:val="333333"/>
          <w:sz w:val="22"/>
          <w:szCs w:val="22"/>
        </w:rPr>
        <w:t xml:space="preserve">Read the furnished reference material and provide feedback on clarity, accuracy, and usefulness as an onboarding document.</w:t>
      </w:r>
    </w:p>
    <w:p>
      <w:pPr>
        <w:pStyle w:val="ListParagraph"/>
        <w:numPr>
          <w:ilvl w:val="0"/>
          <w:numId w:val="3"/>
        </w:numPr>
        <w:spacing w:after="80" w:line="276"/>
      </w:pPr>
      <w:r>
        <w:rPr>
          <w:rFonts w:ascii="Arial" w:cs="Arial" w:eastAsia="Arial" w:hAnsi="Arial"/>
          <w:b/>
          <w:bCs/>
          <w:color w:val="333333"/>
          <w:sz w:val="22"/>
          <w:szCs w:val="22"/>
        </w:rPr>
        <w:t xml:space="preserve">README protocol: </w:t>
      </w:r>
      <w:r>
        <w:rPr>
          <w:rFonts w:ascii="Arial" w:cs="Arial" w:eastAsia="Arial" w:hAnsi="Arial"/>
          <w:color w:val="333333"/>
          <w:sz w:val="22"/>
          <w:szCs w:val="22"/>
        </w:rPr>
        <w:t xml:space="preserve">Review the synchronized Claude learning approach and confirm this method works for your workflow.</w:t>
      </w:r>
    </w:p>
    <w:p>
      <w:pPr>
        <w:pStyle w:val="ListParagraph"/>
        <w:numPr>
          <w:ilvl w:val="0"/>
          <w:numId w:val="3"/>
        </w:numPr>
        <w:spacing w:after="80" w:line="276"/>
      </w:pPr>
      <w:r>
        <w:rPr>
          <w:rFonts w:ascii="Arial" w:cs="Arial" w:eastAsia="Arial" w:hAnsi="Arial"/>
          <w:b/>
          <w:bCs/>
          <w:color w:val="333333"/>
          <w:sz w:val="22"/>
          <w:szCs w:val="22"/>
        </w:rPr>
        <w:t xml:space="preserve">Individual knowledge needs: </w:t>
      </w:r>
      <w:r>
        <w:rPr>
          <w:rFonts w:ascii="Arial" w:cs="Arial" w:eastAsia="Arial" w:hAnsi="Arial"/>
          <w:color w:val="333333"/>
          <w:sz w:val="22"/>
          <w:szCs w:val="22"/>
        </w:rPr>
        <w:t xml:space="preserve">Each of you may have specific areas where you need deeper information. Let Michael know what those are so targeted materials can be prepared.</w:t>
      </w:r>
    </w:p>
    <w:p>
      <w:pPr>
        <w:spacing w:after="150" w:before="150"/>
      </w:pPr>
    </w:p>
    <w:p>
      <w:pPr>
        <w:pBdr>
          <w:bottom w:val="single" w:color="0E6B7A" w:sz="6" w:space="1"/>
        </w:pBdr>
        <w:spacing w:after="120" w:before="120"/>
      </w:pPr>
    </w:p>
    <w:p>
      <w:pPr>
        <w:spacing w:after="60" w:before="60"/>
      </w:pPr>
    </w:p>
    <w:p>
      <w:pPr>
        <w:spacing w:after="60"/>
        <w:jc w:val="center"/>
      </w:pPr>
      <w:r>
        <w:rPr>
          <w:rFonts w:ascii="Arial" w:cs="Arial" w:eastAsia="Arial" w:hAnsi="Arial"/>
          <w:i/>
          <w:iCs/>
          <w:color w:val="888888"/>
          <w:sz w:val="20"/>
          <w:szCs w:val="20"/>
        </w:rPr>
        <w:t xml:space="preserve">Prepared by Michael Guarino</w:t>
      </w:r>
    </w:p>
    <w:p>
      <w:pPr>
        <w:spacing w:after="60"/>
        <w:jc w:val="center"/>
      </w:pPr>
      <w:r>
        <w:rPr>
          <w:rFonts w:ascii="Arial" w:cs="Arial" w:eastAsia="Arial" w:hAnsi="Arial"/>
          <w:i/>
          <w:iCs/>
          <w:color w:val="888888"/>
          <w:sz w:val="20"/>
          <w:szCs w:val="20"/>
        </w:rPr>
        <w:t xml:space="preserve">March 23, 2026  ·  Strictly Confidential</w:t>
      </w:r>
    </w:p>
    <w:p>
      <w:pPr>
        <w:jc w:val="center"/>
      </w:pPr>
      <w:r>
        <w:rPr>
          <w:rFonts w:ascii="Arial" w:cs="Arial" w:eastAsia="Arial" w:hAnsi="Arial"/>
          <w:i/>
          <w:iCs/>
          <w:color w:val="AAAAAA"/>
          <w:sz w:val="18"/>
          <w:szCs w:val="18"/>
        </w:rPr>
        <w:t xml:space="preserve">For Attractor Dynamix Group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6"/>
        <w:szCs w:val="16"/>
      </w:rPr>
      <w:t xml:space="preserve">Confidential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B7A" w:sz="4" w:space="4"/>
      </w:pBdr>
    </w:pPr>
    <w:r>
      <w:rPr>
        <w:rFonts w:ascii="Arial" w:cs="Arial" w:eastAsia="Arial" w:hAnsi="Arial"/>
        <w:i/>
        <w:iCs/>
        <w:color w:val="888888"/>
        <w:sz w:val="18"/>
        <w:szCs w:val="18"/>
      </w:rPr>
      <w:t xml:space="preserve">Attractor Dynamix — Project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0E6B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2026-03-23T18:29:13.741Z</dcterms:created>
  <dcterms:modified xsi:type="dcterms:W3CDTF">2026-03-23T18:29:13.741Z</dcterms:modified>
</cp:coreProperties>
</file>

<file path=docProps/custom.xml><?xml version="1.0" encoding="utf-8"?>
<Properties xmlns="http://schemas.openxmlformats.org/officeDocument/2006/custom-properties" xmlns:vt="http://schemas.openxmlformats.org/officeDocument/2006/docPropsVTypes"/>
</file>