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F2870EB" wp14:textId="77777777">
      <w:pPr>
        <w:spacing w:after="60"/>
      </w:pPr>
      <w:r>
        <w:rPr>
          <w:b/>
          <w:bCs/>
          <w:color w:val="1F3864"/>
          <w:sz w:val="52"/>
          <w:szCs w:val="52"/>
        </w:rPr>
        <w:t xml:space="preserve">ATDW Data Core</w:t>
      </w:r>
    </w:p>
    <w:p xmlns:wp14="http://schemas.microsoft.com/office/word/2010/wordml" w14:paraId="5D4A0E4F" wp14:textId="77777777">
      <w:pPr>
        <w:spacing w:after="60"/>
      </w:pPr>
      <w:r>
        <w:rPr>
          <w:b/>
          <w:bCs/>
          <w:color w:val="2E5496"/>
          <w:sz w:val="34"/>
          <w:szCs w:val="34"/>
        </w:rPr>
        <w:t xml:space="preserve">Probe Findings — Response and Solution Map</w:t>
      </w:r>
    </w:p>
    <w:p xmlns:wp14="http://schemas.microsoft.com/office/word/2010/wordml" w14:paraId="4C4DBAEB" wp14:textId="77777777">
      <w:pPr>
        <w:pBdr>
          <w:bottom w:val="single" w:color="2E75B6" w:sz="6" w:space="4"/>
        </w:pBdr>
        <w:spacing w:after="220"/>
      </w:pPr>
      <w:r>
        <w:rPr>
          <w:color w:val="777777"/>
          <w:sz w:val="20"/>
          <w:szCs w:val="20"/>
        </w:rPr>
        <w:t xml:space="preserve">Cross-referencing the one-day probe against the data-core POC findings · June 2026</w:t>
      </w:r>
    </w:p>
    <w:p xmlns:wp14="http://schemas.microsoft.com/office/word/2010/wordml" w14:paraId="2401F6F2" wp14:textId="77777777">
      <w:pPr>
        <w:spacing w:before="0" w:after="120" w:line="276" w:lineRule="auto"/>
      </w:pPr>
      <w:r w:rsidRPr="1A936C5E" w:rsidR="1A936C5E">
        <w:rPr>
          <w:b w:val="1"/>
          <w:bCs w:val="1"/>
          <w:lang w:val="en-US"/>
        </w:rPr>
        <w:t xml:space="preserve">In short. </w:t>
      </w:r>
      <w:r w:rsidRPr="1A936C5E" w:rsidR="1A936C5E">
        <w:rPr>
          <w:lang w:val="en-US"/>
        </w:rPr>
        <w:t>The probe is a strong piece of work and a valuable independent check. Run against a larger pull (3,078 records, 11 category codes) than the POC sample (490 balanced records, 7 categories), it lands on the same core conclusion from a different angle: ATDW data is shaped for distribution, not ownership, and becoming canonical means translating it deliberately rather than copying it across. Two independent probes converging on that is exactly the corroboration we want before committing architecture.</w:t>
      </w:r>
    </w:p>
    <w:p xmlns:wp14="http://schemas.microsoft.com/office/word/2010/wordml" w14:paraId="723DAB7D" wp14:textId="77777777">
      <w:pPr>
        <w:spacing w:before="0" w:after="120" w:line="276" w:lineRule="auto"/>
      </w:pPr>
      <w:r w:rsidRPr="1A936C5E" w:rsidR="1A936C5E">
        <w:rPr>
          <w:lang w:val="en-US"/>
        </w:rPr>
        <w:t xml:space="preserve">Where the probe reads as a long list of blockers, most items are in fact normal data-integration work — and the POC has already solved or scoped the majority of them. The table below maps each of the probe’s findings to its current status and the solution already in hand. Two findings are genuinely new and worth carrying forward as decisions; they are credited and expanded after the table. </w:t>
      </w:r>
      <w:r w:rsidRPr="1A936C5E" w:rsidR="1A936C5E">
        <w:rPr>
          <w:b w:val="1"/>
          <w:bCs w:val="1"/>
          <w:lang w:val="en-US"/>
        </w:rPr>
        <w:t>Nothing in the probe is a reason we cannot own this data.</w:t>
      </w:r>
    </w:p>
    <w:p xmlns:wp14="http://schemas.microsoft.com/office/word/2010/wordml" w14:paraId="5A0F7009" wp14:textId="77777777">
      <w:pPr>
        <w:spacing w:before="0" w:after="160" w:line="276" w:lineRule="auto"/>
      </w:pPr>
      <w:r w:rsidRPr="1A936C5E" w:rsidR="1A936C5E">
        <w:rPr>
          <w:i w:val="1"/>
          <w:iCs w:val="1"/>
          <w:color w:val="555555"/>
          <w:sz w:val="20"/>
          <w:szCs w:val="20"/>
          <w:lang w:val="en-US"/>
        </w:rPr>
        <w:t xml:space="preserve">Reading the status column: </w:t>
      </w:r>
      <w:r w:rsidRPr="1A936C5E" w:rsidR="1A936C5E">
        <w:rPr>
          <w:b w:val="1"/>
          <w:bCs w:val="1"/>
          <w:color w:val="2E7D32"/>
          <w:sz w:val="20"/>
          <w:szCs w:val="20"/>
          <w:lang w:val="en-US"/>
        </w:rPr>
        <w:t>SOLVED</w:t>
      </w:r>
      <w:r w:rsidRPr="1A936C5E" w:rsidR="1A936C5E">
        <w:rPr>
          <w:i w:val="1"/>
          <w:iCs w:val="1"/>
          <w:color w:val="555555"/>
          <w:sz w:val="20"/>
          <w:szCs w:val="20"/>
          <w:lang w:val="en-US"/>
        </w:rPr>
        <w:t xml:space="preserve"> = a fix is already built or committed in the POC.  </w:t>
      </w:r>
      <w:r w:rsidRPr="1A936C5E" w:rsidR="1A936C5E">
        <w:rPr>
          <w:b w:val="1"/>
          <w:bCs w:val="1"/>
          <w:color w:val="B26A00"/>
          <w:sz w:val="20"/>
          <w:szCs w:val="20"/>
          <w:lang w:val="en-US"/>
        </w:rPr>
        <w:t>DECISION</w:t>
      </w:r>
      <w:r w:rsidRPr="1A936C5E" w:rsidR="1A936C5E">
        <w:rPr>
          <w:i w:val="1"/>
          <w:iCs w:val="1"/>
          <w:color w:val="555555"/>
          <w:sz w:val="20"/>
          <w:szCs w:val="20"/>
          <w:lang w:val="en-US"/>
        </w:rPr>
        <w:t xml:space="preserve"> = a genuine new item needing a call.  </w:t>
      </w:r>
      <w:r w:rsidRPr="1A936C5E" w:rsidR="1A936C5E">
        <w:rPr>
          <w:b w:val="1"/>
          <w:bCs w:val="1"/>
          <w:color w:val="555555"/>
          <w:sz w:val="20"/>
          <w:szCs w:val="20"/>
          <w:lang w:val="en-US"/>
        </w:rPr>
        <w:t>NORMAL</w:t>
      </w:r>
      <w:r w:rsidRPr="1A936C5E" w:rsidR="1A936C5E">
        <w:rPr>
          <w:i w:val="1"/>
          <w:iCs w:val="1"/>
          <w:color w:val="555555"/>
          <w:sz w:val="20"/>
          <w:szCs w:val="20"/>
          <w:lang w:val="en-US"/>
        </w:rPr>
        <w:t xml:space="preserve"> = standard integration work, scoped, not a blocker.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6360"/>
      </w:tblGrid>
      <w:tr xmlns:wp14="http://schemas.microsoft.com/office/word/2010/wordml" w:rsidTr="1A936C5E" w14:paraId="565F5C6F" wp14:textId="77777777">
        <w:trPr>
          <w:tblHeader/>
        </w:trPr>
        <w:tc>
          <w:tcPr>
            <w:tcW w:w="18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E6EC8FD" wp14:textId="77777777">
            <w:pPr>
              <w:spacing w:after="0"/>
            </w:pPr>
            <w:r>
              <w:rPr>
                <w:b/>
                <w:bCs/>
                <w:color w:val="FFFFFF"/>
              </w:rPr>
              <w:t xml:space="preserve">Probe finding</w:t>
            </w:r>
          </w:p>
        </w:tc>
        <w:tc>
          <w:tcPr>
            <w:tcW w:w="11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B9FBFDD" wp14:textId="77777777">
            <w:pPr>
              <w:spacing w:after="0"/>
            </w:pPr>
            <w:r>
              <w:rPr>
                <w:b/>
                <w:bCs/>
                <w:color w:val="FFFFFF"/>
              </w:rPr>
              <w:t xml:space="preserve">Status</w:t>
            </w:r>
          </w:p>
        </w:tc>
        <w:tc>
          <w:tcPr>
            <w:tcW w:w="63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2FB4D7A" wp14:textId="77777777">
            <w:pPr>
              <w:spacing w:after="0"/>
            </w:pPr>
            <w:r>
              <w:rPr>
                <w:b/>
                <w:bCs/>
                <w:color w:val="FFFFFF"/>
              </w:rPr>
              <w:t xml:space="preserve">Solution, and where it lives</w:t>
            </w:r>
          </w:p>
        </w:tc>
      </w:tr>
      <w:tr xmlns:wp14="http://schemas.microsoft.com/office/word/2010/wordml" w:rsidTr="1A936C5E" w14:paraId="68F3B1AD" wp14:textId="77777777">
        <w:tc>
          <w:tcPr>
            <w:tcW w:w="18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14306F" wp14:textId="77777777">
            <w:pPr>
              <w:spacing w:after="0"/>
            </w:pPr>
            <w:r>
              <w:rPr>
                <w:b/>
                <w:bCs/>
                <w:sz w:val="19"/>
                <w:szCs w:val="19"/>
              </w:rPr>
              <w:t xml:space="preserve">Image URLs are distributor-scoped (embedded credentials)</w:t>
            </w:r>
          </w:p>
        </w:tc>
        <w:tc>
          <w:tcPr>
            <w:tcW w:w="11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4A1096" wp14:textId="77777777">
            <w:pPr>
              <w:spacing w:after="0"/>
            </w:pPr>
            <w:r>
              <w:rPr>
                <w:b/>
                <w:bCs/>
                <w:color w:val="2E7D32"/>
                <w:sz w:val="18"/>
                <w:szCs w:val="18"/>
              </w:rPr>
              <w:t xml:space="preserve">SOLVED</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D51AC5" wp14:textId="77777777">
            <w:pPr>
              <w:spacing w:after="0"/>
            </w:pPr>
            <w:r w:rsidRPr="1A936C5E" w:rsidR="1A936C5E">
              <w:rPr>
                <w:lang w:val="en-US"/>
              </w:rPr>
              <w:t>This is a shared finding — the POC also found base64 distributorId / apikeyId in 100% of records and classified it launch-blocking. Fix: strip-or-vault at ingestion (pipeline stage 5); never store or serve the raw URL. The probe correctly rates this serious; the answer is in hand.</w:t>
            </w:r>
          </w:p>
        </w:tc>
      </w:tr>
      <w:tr xmlns:wp14="http://schemas.microsoft.com/office/word/2010/wordml" w:rsidTr="1A936C5E" w14:paraId="75D3889B" wp14:textId="77777777">
        <w:tc>
          <w:tcPr>
            <w:tcW w:w="18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7CA53F66" wp14:textId="77777777">
            <w:pPr>
              <w:spacing w:after="0"/>
            </w:pPr>
            <w:r w:rsidRPr="1A936C5E" w:rsidR="1A936C5E">
              <w:rPr>
                <w:b w:val="1"/>
                <w:bCs w:val="1"/>
                <w:sz w:val="19"/>
                <w:szCs w:val="19"/>
                <w:lang w:val="en-US"/>
              </w:rPr>
              <w:t>FOOD doesn’t exist / productType filter silently ignored</w:t>
            </w:r>
          </w:p>
        </w:tc>
        <w:tc>
          <w:tcPr>
            <w:tcW w:w="11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273EA985" wp14:textId="77777777">
            <w:pPr>
              <w:spacing w:after="0"/>
            </w:pPr>
            <w:r>
              <w:rPr>
                <w:b/>
                <w:bCs/>
                <w:color w:val="2E7D32"/>
                <w:sz w:val="18"/>
                <w:szCs w:val="18"/>
              </w:rPr>
              <w:t xml:space="preserve">SOLVED</w:t>
            </w:r>
          </w:p>
        </w:tc>
        <w:tc>
          <w:tcPr>
            <w:tcW w:w="636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2C0B2F64" wp14:textId="77777777">
            <w:pPr>
              <w:spacing w:after="0"/>
            </w:pPr>
            <w:r w:rsidRPr="1A936C5E" w:rsidR="1A936C5E">
              <w:rPr>
                <w:lang w:val="en-US"/>
              </w:rPr>
              <w:t>The worked example of translate-don’t-transplant. Fix: the field-mapping table (stage 3) maps real category codes; filtering is client-side on product_category_id. The “expecting FOOD returns zero” risk only bites a system that transplanted assumptions — which the architecture is built to avoid.</w:t>
            </w:r>
          </w:p>
        </w:tc>
      </w:tr>
      <w:tr xmlns:wp14="http://schemas.microsoft.com/office/word/2010/wordml" w:rsidTr="1A936C5E" w14:paraId="5D1F0849" wp14:textId="77777777">
        <w:tc>
          <w:tcPr>
            <w:tcW w:w="18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EE701A" wp14:textId="77777777">
            <w:pPr>
              <w:spacing w:after="0"/>
            </w:pPr>
            <w:r>
              <w:rPr>
                <w:b/>
                <w:bCs/>
                <w:sz w:val="19"/>
                <w:szCs w:val="19"/>
              </w:rPr>
              <w:t xml:space="preserve">Built-in TTL / records expire / no tombstone signal</w:t>
            </w:r>
          </w:p>
        </w:tc>
        <w:tc>
          <w:tcPr>
            <w:tcW w:w="11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B387AB4" wp14:textId="77777777">
            <w:pPr>
              <w:spacing w:after="0"/>
            </w:pPr>
            <w:r>
              <w:rPr>
                <w:b/>
                <w:bCs/>
                <w:color w:val="2E7D32"/>
                <w:sz w:val="18"/>
                <w:szCs w:val="18"/>
              </w:rPr>
              <w:t xml:space="preserve">SOLVED</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4A389B" wp14:textId="77777777">
            <w:pPr>
              <w:spacing w:after="0"/>
            </w:pPr>
            <w:r w:rsidRPr="1A936C5E" w:rsidR="1A936C5E">
              <w:rPr>
                <w:lang w:val="en-US"/>
              </w:rPr>
              <w:t>Same root point: the feed is a live projection, not an export. Already scoped via the re-run precedence rule and the DAPI-vs-database reconciliation caveat. Fix: scheduled sync + expiry tracking; treat a vanished record as a reconciliation event, not a silent delete. The probe’s framing (“owning the data means owning the refresh cycle”) is an argument for the governed-importer design.</w:t>
            </w:r>
          </w:p>
        </w:tc>
      </w:tr>
      <w:tr xmlns:wp14="http://schemas.microsoft.com/office/word/2010/wordml" w:rsidTr="1A936C5E" w14:paraId="4625C009" wp14:textId="77777777">
        <w:tc>
          <w:tcPr>
            <w:tcW w:w="18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4B3D25BD" wp14:textId="77777777">
            <w:pPr>
              <w:spacing w:after="0"/>
            </w:pPr>
            <w:r>
              <w:rPr>
                <w:b/>
                <w:bCs/>
                <w:sz w:val="19"/>
                <w:szCs w:val="19"/>
              </w:rPr>
              <w:t xml:space="preserve">TOUR geo is misleading (points to office, not route)</w:t>
            </w:r>
          </w:p>
        </w:tc>
        <w:tc>
          <w:tcPr>
            <w:tcW w:w="11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790BED11" wp14:textId="77777777">
            <w:pPr>
              <w:spacing w:after="0"/>
            </w:pPr>
            <w:r>
              <w:rPr>
                <w:b/>
                <w:bCs/>
                <w:color w:val="2E7D32"/>
                <w:sz w:val="18"/>
                <w:szCs w:val="18"/>
              </w:rPr>
              <w:t xml:space="preserve">SOLVED</w:t>
            </w:r>
          </w:p>
        </w:tc>
        <w:tc>
          <w:tcPr>
            <w:tcW w:w="636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7BDD97A6" wp14:textId="77777777">
            <w:pPr>
              <w:spacing w:after="0"/>
            </w:pPr>
            <w:r>
              <w:t xml:space="preserve">Same structural cause the POC addressed with category-aware scoring: tours are itinerant and have no single venue. Fix extends the same principle to geo — suppress or flag tour coordinates rather than mapping them to a misleading point. Better to omit point-geo than to place a Barossa tour in Adelaide.</w:t>
            </w:r>
          </w:p>
        </w:tc>
      </w:tr>
      <w:tr xmlns:wp14="http://schemas.microsoft.com/office/word/2010/wordml" w:rsidTr="1A936C5E" w14:paraId="51C15B0E" wp14:textId="77777777">
        <w:tc>
          <w:tcPr>
            <w:tcW w:w="18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87EDE1" wp14:textId="77777777">
            <w:pPr>
              <w:spacing w:after="0"/>
            </w:pPr>
            <w:r>
              <w:rPr>
                <w:b/>
                <w:bCs/>
                <w:sz w:val="19"/>
                <w:szCs w:val="19"/>
              </w:rPr>
              <w:t xml:space="preserve">Custodian is not the operator (councils, state bodies, aggregators)</w:t>
            </w:r>
          </w:p>
        </w:tc>
        <w:tc>
          <w:tcPr>
            <w:tcW w:w="11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E46D495" wp14:textId="77777777">
            <w:pPr>
              <w:spacing w:after="0"/>
            </w:pPr>
            <w:r>
              <w:rPr>
                <w:b/>
                <w:bCs/>
                <w:color w:val="B26A00"/>
                <w:sz w:val="18"/>
                <w:szCs w:val="18"/>
              </w:rPr>
              <w:t xml:space="preserve">DECISION</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3C439A" wp14:textId="77777777">
            <w:pPr>
              <w:spacing w:after="0"/>
            </w:pPr>
            <w:r w:rsidRPr="1A936C5E" w:rsidR="1A936C5E">
              <w:rPr>
                <w:lang w:val="en-US"/>
              </w:rPr>
              <w:t>A genuine new find, and a good one. This is an identity/governance matter, not a schema one. Recommended: carry a custodian-vs-operator distinction in the canonical model (who entered the record vs who runs the business), even where operator is often null. Small consideration, surfaced now rather than discovered later. See note below.</w:t>
            </w:r>
          </w:p>
        </w:tc>
      </w:tr>
      <w:tr xmlns:wp14="http://schemas.microsoft.com/office/word/2010/wordml" w:rsidTr="1A936C5E" w14:paraId="136832F6" wp14:textId="77777777">
        <w:tc>
          <w:tcPr>
            <w:tcW w:w="18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43B7F0A5" wp14:textId="77777777">
            <w:pPr>
              <w:spacing w:after="0"/>
            </w:pPr>
            <w:r>
              <w:rPr>
                <w:b/>
                <w:bCs/>
                <w:sz w:val="19"/>
                <w:szCs w:val="19"/>
              </w:rPr>
              <w:t xml:space="preserve">Duplicates across state entities (one operator, many records)</w:t>
            </w:r>
          </w:p>
        </w:tc>
        <w:tc>
          <w:tcPr>
            <w:tcW w:w="11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124E2E31" wp14:textId="77777777">
            <w:pPr>
              <w:spacing w:after="0"/>
            </w:pPr>
            <w:r>
              <w:rPr>
                <w:b/>
                <w:bCs/>
                <w:color w:val="B26A00"/>
                <w:sz w:val="18"/>
                <w:szCs w:val="18"/>
              </w:rPr>
              <w:t xml:space="preserve">DECISION</w:t>
            </w:r>
          </w:p>
        </w:tc>
        <w:tc>
          <w:tcPr>
            <w:tcW w:w="636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2B70BE70" wp14:textId="77777777">
            <w:pPr>
              <w:spacing w:after="0"/>
            </w:pPr>
            <w:r w:rsidRPr="1A936C5E" w:rsidR="1A936C5E">
              <w:rPr>
                <w:lang w:val="en-US"/>
              </w:rPr>
              <w:t>Also genuine and visible at the probe’s larger scale. Entity resolution is real work — but a known category of it, not a mystery, and only a hard blocker if “one canonical URL per entity” is asserted as a day-one rule. Recommended: ingest as-is on ATDW IDs, flag suspected duplicates, resolve as a later wave. See note below.</w:t>
            </w:r>
          </w:p>
        </w:tc>
      </w:tr>
      <w:tr xmlns:wp14="http://schemas.microsoft.com/office/word/2010/wordml" w:rsidTr="1A936C5E" w14:paraId="00EA4A6A" wp14:textId="77777777">
        <w:tc>
          <w:tcPr>
            <w:tcW w:w="18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B57AC3" wp14:textId="77777777">
            <w:pPr>
              <w:spacing w:after="0"/>
            </w:pPr>
            <w:r w:rsidRPr="1A936C5E" w:rsidR="1A936C5E">
              <w:rPr>
                <w:b w:val="1"/>
                <w:bCs w:val="1"/>
                <w:sz w:val="19"/>
                <w:szCs w:val="19"/>
                <w:lang w:val="en-US"/>
              </w:rPr>
              <w:t>Areas taxonomy mixes marketing regions and LGAs</w:t>
            </w:r>
          </w:p>
        </w:tc>
        <w:tc>
          <w:tcPr>
            <w:tcW w:w="11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3F3936" wp14:textId="77777777">
            <w:pPr>
              <w:spacing w:after="0"/>
            </w:pPr>
            <w:r>
              <w:rPr>
                <w:b/>
                <w:bCs/>
                <w:color w:val="555555"/>
                <w:sz w:val="18"/>
                <w:szCs w:val="18"/>
              </w:rPr>
              <w:t xml:space="preserve">NORMAL</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2D11A6" wp14:textId="77777777">
            <w:pPr>
              <w:spacing w:after="0"/>
            </w:pPr>
            <w:r w:rsidRPr="1A936C5E" w:rsidR="1A936C5E">
              <w:rPr>
                <w:lang w:val="en-US"/>
              </w:rPr>
              <w:t>Real but mild. Fix: treat areas as a multi-value tag set, not a hierarchy, until ATDW publishes an authoritative region list. Multi-value regional tags serve the API and reporting fine. Only “high effort” if a strict hierarchy is insisted on — which is not needed yet.</w:t>
            </w:r>
          </w:p>
        </w:tc>
      </w:tr>
      <w:tr xmlns:wp14="http://schemas.microsoft.com/office/word/2010/wordml" w:rsidTr="1A936C5E" w14:paraId="5C79DE04" wp14:textId="77777777">
        <w:tc>
          <w:tcPr>
            <w:tcW w:w="18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5ED02126" wp14:textId="77777777">
            <w:pPr>
              <w:spacing w:after="0"/>
            </w:pPr>
            <w:r>
              <w:rPr>
                <w:b/>
                <w:bCs/>
                <w:sz w:val="19"/>
                <w:szCs w:val="19"/>
              </w:rPr>
              <w:t xml:space="preserve">JOURNEY mixes walking tracks and multi-day itineraries</w:t>
            </w:r>
          </w:p>
        </w:tc>
        <w:tc>
          <w:tcPr>
            <w:tcW w:w="11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2C9C3A99" wp14:textId="77777777">
            <w:pPr>
              <w:spacing w:after="0"/>
            </w:pPr>
            <w:r>
              <w:rPr>
                <w:b/>
                <w:bCs/>
                <w:color w:val="555555"/>
                <w:sz w:val="18"/>
                <w:szCs w:val="18"/>
              </w:rPr>
              <w:t xml:space="preserve">NORMAL</w:t>
            </w:r>
          </w:p>
        </w:tc>
        <w:tc>
          <w:tcPr>
            <w:tcW w:w="636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5AE6D6F8" wp14:textId="77777777">
            <w:pPr>
              <w:spacing w:after="0"/>
            </w:pPr>
            <w:r w:rsidRPr="1A936C5E" w:rsidR="1A936C5E">
              <w:rPr>
                <w:lang w:val="en-US"/>
              </w:rPr>
              <w:t>Standard mapping work. Fix: a sub-type derived at stage 3 (track vs itinerary) from existing signals, projected to the appropriate type downstream. No schema change to the core.</w:t>
            </w:r>
          </w:p>
        </w:tc>
      </w:tr>
      <w:tr xmlns:wp14="http://schemas.microsoft.com/office/word/2010/wordml" w:rsidTr="1A936C5E" w14:paraId="5F5431AE" wp14:textId="77777777">
        <w:tc>
          <w:tcPr>
            <w:tcW w:w="18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EBAF81" wp14:textId="77777777">
            <w:pPr>
              <w:spacing w:after="0"/>
            </w:pPr>
            <w:r>
              <w:rPr>
                <w:b/>
                <w:bCs/>
                <w:sz w:val="19"/>
                <w:szCs w:val="19"/>
              </w:rPr>
              <w:t xml:space="preserve">GENSERVICE is too broad (B2B mixed with tourism)</w:t>
            </w:r>
          </w:p>
        </w:tc>
        <w:tc>
          <w:tcPr>
            <w:tcW w:w="11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30CCC5" wp14:textId="77777777">
            <w:pPr>
              <w:spacing w:after="0"/>
            </w:pPr>
            <w:r>
              <w:rPr>
                <w:b/>
                <w:bCs/>
                <w:color w:val="555555"/>
                <w:sz w:val="18"/>
                <w:szCs w:val="18"/>
              </w:rPr>
              <w:t xml:space="preserve">NORMAL</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32A387" wp14:textId="77777777">
            <w:pPr>
              <w:spacing w:after="0"/>
            </w:pPr>
            <w:r w:rsidRPr="1A936C5E" w:rsidR="1A936C5E">
              <w:rPr>
                <w:lang w:val="en-US"/>
              </w:rPr>
              <w:t>Expected for a catch-all category. Fix: filter at the projection layer, not the core — the core stores it; the API and reporting decide relevance. No need to over-model the source’s looseness into the canonical schema.</w:t>
            </w:r>
          </w:p>
        </w:tc>
      </w:tr>
      <w:tr xmlns:wp14="http://schemas.microsoft.com/office/word/2010/wordml" w:rsidTr="1A936C5E" w14:paraId="7D469E0F" wp14:textId="77777777">
        <w:tc>
          <w:tcPr>
            <w:tcW w:w="18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5179E11A" wp14:textId="77777777">
            <w:pPr>
              <w:spacing w:after="0"/>
            </w:pPr>
            <w:r w:rsidRPr="1A936C5E" w:rsidR="1A936C5E">
              <w:rPr>
                <w:b w:val="1"/>
                <w:bCs w:val="1"/>
                <w:sz w:val="19"/>
                <w:szCs w:val="19"/>
                <w:lang w:val="en-US"/>
              </w:rPr>
              <w:t>Category codes don’t map cleanly to schema.org types</w:t>
            </w:r>
          </w:p>
        </w:tc>
        <w:tc>
          <w:tcPr>
            <w:tcW w:w="115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225AFD76" wp14:textId="77777777">
            <w:pPr>
              <w:spacing w:after="0"/>
            </w:pPr>
            <w:r>
              <w:rPr>
                <w:b/>
                <w:bCs/>
                <w:color w:val="555555"/>
                <w:sz w:val="18"/>
                <w:szCs w:val="18"/>
              </w:rPr>
              <w:t xml:space="preserve">NORMAL</w:t>
            </w:r>
          </w:p>
        </w:tc>
        <w:tc>
          <w:tcPr>
            <w:tcW w:w="6360" w:type="dxa"/>
            <w:tcBorders>
              <w:top w:val="single" w:color="CCCCCC" w:sz="1"/>
              <w:left w:val="single" w:color="CCCCCC" w:sz="1"/>
              <w:bottom w:val="single" w:color="CCCCCC" w:sz="1"/>
              <w:right w:val="single" w:color="CCCCCC" w:sz="1"/>
            </w:tcBorders>
            <w:shd w:val="clear" w:color="auto" w:fill="EEF3FA"/>
            <w:tcMar>
              <w:top w:w="80" w:type="dxa"/>
              <w:left w:w="120" w:type="dxa"/>
              <w:bottom w:w="80" w:type="dxa"/>
              <w:right w:w="120" w:type="dxa"/>
            </w:tcMar>
          </w:tcPr>
          <w:p w14:paraId="1608182A" wp14:textId="77777777">
            <w:pPr>
              <w:spacing w:after="0"/>
            </w:pPr>
            <w:r w:rsidRPr="1A936C5E" w:rsidR="1A936C5E">
              <w:rPr>
                <w:lang w:val="en-US"/>
              </w:rPr>
              <w:t>Overstated as all-or-nothing. schema.org projection is per-record and per-type: emit clean markup for the categories that map cleanly (RESTAURANT, ACCOMM, ATTRACTION, EVENT — the bulk of the corpus, per the probe’s own table), and omit or simplify type for the rest. DESTINFO is content, not an entity, so it carries no entity markup — that is correct behaviour, not lost information.</w:t>
            </w:r>
          </w:p>
        </w:tc>
      </w:tr>
      <w:tr xmlns:wp14="http://schemas.microsoft.com/office/word/2010/wordml" w:rsidTr="1A936C5E" w14:paraId="7E932EBA" wp14:textId="77777777">
        <w:tc>
          <w:tcPr>
            <w:tcW w:w="18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63EA37" wp14:textId="77777777">
            <w:pPr>
              <w:spacing w:after="0"/>
            </w:pPr>
            <w:r>
              <w:rPr>
                <w:b/>
                <w:bCs/>
                <w:sz w:val="19"/>
                <w:szCs w:val="19"/>
              </w:rPr>
              <w:t xml:space="preserve">Event dates incomplete for recurring events</w:t>
            </w:r>
          </w:p>
        </w:tc>
        <w:tc>
          <w:tcPr>
            <w:tcW w:w="115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6CBE21B" wp14:textId="77777777">
            <w:pPr>
              <w:spacing w:after="0"/>
            </w:pPr>
            <w:r>
              <w:rPr>
                <w:b/>
                <w:bCs/>
                <w:color w:val="555555"/>
                <w:sz w:val="18"/>
                <w:szCs w:val="18"/>
              </w:rPr>
              <w:t xml:space="preserve">NORMAL</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37485D" wp14:textId="77777777">
            <w:pPr>
              <w:spacing w:after="0"/>
            </w:pPr>
            <w:r w:rsidRPr="1A936C5E" w:rsidR="1A936C5E">
              <w:rPr>
                <w:lang w:val="en-US"/>
              </w:rPr>
              <w:t>Fine for one-offs (the probe agrees); degraded, not broken, for recurring. Fix: store what is given (next_occurrence + expires_at); emit Event for one-offs; for recurring events emit without a fabricated recurrence rule. We never invent data to satisfy a schema — incomplete markup is acceptable, fabrication is not.</w:t>
            </w:r>
          </w:p>
        </w:tc>
      </w:tr>
    </w:tbl>
    <w:p xmlns:wp14="http://schemas.microsoft.com/office/word/2010/wordml" w14:paraId="672A6659" wp14:textId="77777777">
      <w:r>
        <w:br w:type="page"/>
      </w:r>
    </w:p>
    <w:p xmlns:wp14="http://schemas.microsoft.com/office/word/2010/wordml" w14:paraId="47FE519C" wp14:textId="77777777">
      <w:pPr>
        <w:pStyle w:val="Heading1"/>
      </w:pPr>
      <w:r>
        <w:t xml:space="preserve">The two findings worth carrying forward</w:t>
      </w:r>
    </w:p>
    <w:p xmlns:wp14="http://schemas.microsoft.com/office/word/2010/wordml" w14:paraId="7EA79EB0" wp14:textId="77777777">
      <w:pPr>
        <w:spacing w:before="0" w:after="120" w:line="276" w:lineRule="auto"/>
      </w:pPr>
      <w:r w:rsidRPr="1A936C5E" w:rsidR="1A936C5E">
        <w:rPr>
          <w:lang w:val="en-US"/>
        </w:rPr>
        <w:t>These two are the probe’s strongest contribution — they were not in the POC findings and they deserve to be picked up as deliberate decisions rather than left implicit.</w:t>
      </w:r>
    </w:p>
    <w:p xmlns:wp14="http://schemas.microsoft.com/office/word/2010/wordml" w14:paraId="7F2C5EA3" wp14:textId="77777777">
      <w:pPr>
        <w:pStyle w:val="Heading2"/>
      </w:pPr>
      <w:r>
        <w:t xml:space="preserve">1. Custodian is not always the operator</w:t>
      </w:r>
    </w:p>
    <w:p xmlns:wp14="http://schemas.microsoft.com/office/word/2010/wordml" w14:paraId="5E414112" wp14:textId="77777777">
      <w:pPr>
        <w:spacing w:before="0" w:after="120" w:line="276" w:lineRule="auto"/>
      </w:pPr>
      <w:r w:rsidRPr="1A936C5E" w:rsidR="1A936C5E">
        <w:rPr>
          <w:lang w:val="en-US"/>
        </w:rPr>
        <w:t>The probe showed clearly that organisation_name is whoever entered the record — Destination NSW owns 51 restaurant records, regional visitor centres own dozens, Hipcamp bulk-listed accommodation as an aggregator, and government departments own attractions. A nice secondary observation: the aggregator’s records were often higher quality than direct submissions, so this is not simply a data-quality concern — it is a question of what the field means.</w:t>
      </w:r>
    </w:p>
    <w:p xmlns:wp14="http://schemas.microsoft.com/office/word/2010/wordml" w14:paraId="503A7F2C" wp14:textId="77777777">
      <w:pPr>
        <w:spacing w:before="0" w:after="120" w:line="276" w:lineRule="auto"/>
      </w:pPr>
      <w:r w:rsidRPr="1A936C5E" w:rsidR="1A936C5E">
        <w:rPr>
          <w:b w:val="1"/>
          <w:bCs w:val="1"/>
          <w:lang w:val="en-US"/>
        </w:rPr>
        <w:t xml:space="preserve">Why it matters: </w:t>
      </w:r>
      <w:r w:rsidRPr="1A936C5E" w:rsidR="1A936C5E">
        <w:rPr>
          <w:lang w:val="en-US"/>
        </w:rPr>
        <w:t>any downstream that treats the named organisation as the entity performing the service — a “provider” in schema.org terms — will sometimes be wrong. Emitting a visitor centre as the provider of a restaurant is semantically incorrect.</w:t>
      </w:r>
    </w:p>
    <w:p xmlns:wp14="http://schemas.microsoft.com/office/word/2010/wordml" w14:paraId="03FBA199" wp14:textId="77777777">
      <w:pPr>
        <w:spacing w:before="0" w:after="120" w:line="276" w:lineRule="auto"/>
      </w:pPr>
      <w:r w:rsidRPr="1A936C5E" w:rsidR="1A936C5E">
        <w:rPr>
          <w:b w:val="1"/>
          <w:bCs w:val="1"/>
          <w:lang w:val="en-US"/>
        </w:rPr>
        <w:t xml:space="preserve">Recommended approach: </w:t>
      </w:r>
      <w:r w:rsidRPr="1A936C5E" w:rsidR="1A936C5E">
        <w:rPr>
          <w:lang w:val="en-US"/>
        </w:rPr>
        <w:t>model custodian and operator as distinct concepts in the canonical layer — who entered the record versus who runs the business — accepting that operator will frequently be unknown. That is honest about the data we have, and it stops a misattribution from being baked into every projection. It is a modest addition, best made now while the schema is still settling.</w:t>
      </w:r>
    </w:p>
    <w:p xmlns:wp14="http://schemas.microsoft.com/office/word/2010/wordml" w14:paraId="1A477356" wp14:textId="77777777">
      <w:pPr>
        <w:pStyle w:val="Heading2"/>
      </w:pPr>
      <w:r>
        <w:t xml:space="preserve">2. Duplicate records for a single real-world entity</w:t>
      </w:r>
    </w:p>
    <w:p xmlns:wp14="http://schemas.microsoft.com/office/word/2010/wordml" w14:paraId="35D29756" wp14:textId="77777777">
      <w:pPr>
        <w:spacing w:before="0" w:after="120" w:line="276" w:lineRule="auto"/>
      </w:pPr>
      <w:r w:rsidRPr="1A936C5E" w:rsidR="1A936C5E">
        <w:rPr>
          <w:lang w:val="en-US"/>
        </w:rPr>
        <w:t>At the probe’s scale the duplication is visible: AAT Kings appears as five or more records (one per state entity), and a single operator can appear many times, once per location. This is real, and entity resolution is genuine work.</w:t>
      </w:r>
    </w:p>
    <w:p xmlns:wp14="http://schemas.microsoft.com/office/word/2010/wordml" w14:paraId="0BD40B1F" wp14:textId="77777777">
      <w:pPr>
        <w:spacing w:before="0" w:after="120" w:line="276"/>
      </w:pPr>
      <w:r>
        <w:rPr>
          <w:b/>
          <w:bCs/>
        </w:rPr>
        <w:t xml:space="preserve">The important nuance: </w:t>
      </w:r>
      <w:r>
        <w:t xml:space="preserve">it is only a hard pre-condition for schema.org if we assert “one canonical URL per real-world entity” as a day-one requirement. We do not have to. The pragmatic path is to ingest records as they are, keyed on their ATDW identifiers, flag suspected duplicates for later, and run entity resolution as a dedicated migration wave once the core is stable. That keeps duplication from blocking everything else while still treating it as the real task it is.</w:t>
      </w:r>
    </w:p>
    <w:p xmlns:wp14="http://schemas.microsoft.com/office/word/2010/wordml" w14:paraId="79C46739" wp14:textId="77777777">
      <w:pPr>
        <w:pStyle w:val="Heading1"/>
      </w:pPr>
      <w:r>
        <w:t xml:space="preserve">Bottom line</w:t>
      </w:r>
    </w:p>
    <w:p xmlns:wp14="http://schemas.microsoft.com/office/word/2010/wordml" w14:paraId="3439B699" wp14:textId="77777777">
      <w:pPr>
        <w:spacing w:before="0" w:after="120" w:line="276" w:lineRule="auto"/>
      </w:pPr>
      <w:r w:rsidRPr="1A936C5E" w:rsidR="1A936C5E">
        <w:rPr>
          <w:lang w:val="en-US"/>
        </w:rPr>
        <w:t xml:space="preserve">Of the eleven findings: four are already solved or committed in the POC (credentials, category mapping, refresh/TTL, tour geo), two are genuine new decisions worth adopting (custodian-vs-operator, duplicate resolution), and five are standard integration work that the effort column makes look heavier than it is by treating schema.org as all-or-nothing and assuming every category must force-map. </w:t>
      </w:r>
      <w:r w:rsidRPr="1A936C5E" w:rsidR="1A936C5E">
        <w:rPr>
          <w:b w:val="1"/>
          <w:bCs w:val="1"/>
          <w:lang w:val="en-US"/>
        </w:rPr>
        <w:t>None of it is a reason we cannot own the data.</w:t>
      </w:r>
    </w:p>
    <w:p xmlns:wp14="http://schemas.microsoft.com/office/word/2010/wordml" w14:paraId="13910EB3" wp14:textId="77777777">
      <w:pPr>
        <w:spacing w:before="0" w:after="120" w:line="276"/>
      </w:pPr>
      <w:r>
        <w:t xml:space="preserve">The probe’s own opening — that the data “was never designed to be owned, it was designed to be distributed” — is exactly right, and it is the reason the architecture takes the shape it does: a small strict canonical core, deliberate translation through adapters, and thin projections out. The probe describes the problem the build is already set up to solve. The shortest path from here is to fold its two new findings into the model and keep moving.</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7AEF73C" wp14:textId="77777777">
    <w:pPr>
      <w:tabs>
        <w:tab w:val="right" w:pos="9360"/>
      </w:tabs>
      <w:spacing w:before="0"/>
    </w:pPr>
    <w:r>
      <w:rPr>
        <w:color w:val="999999"/>
        <w:sz w:val="16"/>
        <w:szCs w:val="16"/>
      </w:rPr>
      <w:t xml:space="preserve">Internal working note</w:t>
    </w:r>
    <w:r>
      <w:rPr>
        <w:sz w:val="16"/>
        <w:szCs w:val="16"/>
      </w:rPr>
      <w:t xml:space="preserve">	</w:t>
    </w: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F122E1E" wp14:textId="77777777">
    <w:pPr>
      <w:pBdr>
        <w:bottom w:val="single" w:color="CCCCCC" w:sz="4" w:space="2"/>
      </w:pBdr>
      <w:spacing w:after="0"/>
      <w:jc w:val="right"/>
    </w:pPr>
    <w:r>
      <w:rPr>
        <w:color w:val="999999"/>
        <w:sz w:val="16"/>
        <w:szCs w:val="16"/>
      </w:rPr>
      <w:t xml:space="preserve">ATDW Data Core — Probe Findings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3824b5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C5F53EA"/>
  <w15:docId w15:val="{6BB537C2-D43E-4858-8AA3-BBB89D82AB8C}"/>
  <w:rsids>
    <w:rsidRoot w:val="1A936C5E"/>
    <w:rsid w:val="1A936C5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40"/>
      <w:outlineLvl w:val="0"/>
    </w:pPr>
    <w:rPr>
      <w:rFonts w:ascii="Arial" w:hAnsi="Arial" w:eastAsia="Arial" w:cs="Arial"/>
      <w:b/>
      <w:bCs/>
      <w:color w:val="1F3864"/>
      <w:sz w:val="28"/>
      <w:szCs w:val="28"/>
    </w:rPr>
  </w:style>
  <w:style w:type="paragraph" w:styleId="Heading2">
    <w:name w:val="heading 20"/>
    <w:basedOn w:val="Normal"/>
    <w:next w:val="Normal"/>
    <w:qFormat/>
    <w:pPr>
      <w:spacing w:before="200" w:after="100"/>
      <w:outlineLvl w:val="1"/>
    </w:pPr>
    <w:rPr>
      <w:rFonts w:ascii="Arial" w:hAnsi="Arial" w:eastAsia="Arial" w:cs="Arial"/>
      <w:b/>
      <w:bCs/>
      <w:color w:val="2E549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Ryan Hanly</lastModifiedBy>
  <revision>2</revision>
  <dcterms:created xsi:type="dcterms:W3CDTF">2026-06-15T22:25:13.7590000Z</dcterms:created>
  <dcterms:modified xsi:type="dcterms:W3CDTF">2026-06-15T22:43:34.7780450Z</dcterms:modified>
</coreProperties>
</file>

<file path=docProps/custom.xml><?xml version="1.0" encoding="utf-8"?>
<Properties xmlns="http://schemas.openxmlformats.org/officeDocument/2006/custom-properties" xmlns:vt="http://schemas.openxmlformats.org/officeDocument/2006/docPropsVTypes"/>
</file>