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A2E"/>
          <w:sz w:val="40"/>
        </w:rPr>
        <w:t>ATDW Data Core — Probe Findings</w:t>
      </w:r>
    </w:p>
    <w:p>
      <w:r>
        <w:rPr>
          <w:color w:val="666688"/>
          <w:sz w:val="21"/>
        </w:rPr>
        <w:t>One-Day Data Probe  ·  15 June 2026</w:t>
      </w:r>
    </w:p>
    <w:p/>
    <w:p>
      <w:r>
        <w:t>This document summarises findings from a one-day hands-on probe against real ATDW DAPI data. Records were fetched via the /api/atlas/products endpoint, translated into a canonical schema, loaded into Supabase, and served through a minimal versioned API. 3,078 records were ingested across 11 product category codes. The findings below are drawn from that exercise — not from prior documentation.</w:t>
      </w:r>
    </w:p>
    <w:p/>
    <w:p>
      <w:pPr>
        <w:pStyle w:val="Heading1"/>
      </w:pPr>
      <w:r>
        <w:rPr>
          <w:color w:val="1A1A2E"/>
        </w:rPr>
        <w:t>Question 1: If we had to own the canonical version of this data nationally, what's actually hard about it?</w:t>
      </w:r>
    </w:p>
    <w:p>
      <w:pPr>
        <w:spacing w:before="120" w:after="120"/>
        <w:ind w:left="454" w:right="454"/>
      </w:pPr>
      <w:r>
        <w:rPr>
          <w:i/>
          <w:color w:val="333355"/>
          <w:sz w:val="21"/>
        </w:rPr>
        <w:t>"What's hard about owning this data nationally is that it was never designed to be owned — it was designed to be distributed. The assumptions that creates compound the moment you try to make it canonical."</w:t>
      </w:r>
    </w:p>
    <w:p/>
    <w:p>
      <w:pPr>
        <w:pStyle w:val="Heading2"/>
      </w:pPr>
      <w:r>
        <w:rPr>
          <w:color w:val="1A1A2E"/>
        </w:rPr>
        <w:t>1.1  The data has no tombstone signal</w:t>
      </w:r>
    </w:p>
    <w:p>
      <w:r>
        <w:t>When a record expires or is deactivated, it silently disappears from the API. The endpoint only returns ACTIVE records — all 3,078 records in the probe had status ACTIVE. There is no way to know whether a missing record was cancelled, expired, or quietly removed. A canonical store that relies on polling has no deletion signal: it can only detect absence, not cause.</w:t>
      </w:r>
    </w:p>
    <w:p>
      <w:pPr>
        <w:pStyle w:val="Heading2"/>
      </w:pPr>
      <w:r>
        <w:rPr>
          <w:color w:val="1A1A2E"/>
        </w:rPr>
        <w:t>1.2  The data custodian is often not the operator</w:t>
      </w:r>
    </w:p>
    <w:p>
      <w:r>
        <w:t>The organisation_name field is whoever entered the record — which is frequently not the business being described:</w:t>
      </w:r>
    </w:p>
    <w:p>
      <w:pPr>
        <w:pStyle w:val="ListBullet"/>
        <w:spacing w:after="60"/>
      </w:pPr>
      <w:r>
        <w:rPr>
          <w:sz w:val="21"/>
        </w:rPr>
        <w:t>Destination NSW owns 51 restaurant records in our sample.</w:t>
      </w:r>
    </w:p>
    <w:p>
      <w:pPr>
        <w:pStyle w:val="ListBullet"/>
        <w:spacing w:after="60"/>
      </w:pPr>
      <w:r>
        <w:rPr>
          <w:sz w:val="21"/>
        </w:rPr>
        <w:t>Regional visitor information centres (Camden, Ballina) own dozens more.</w:t>
      </w:r>
    </w:p>
    <w:p>
      <w:pPr>
        <w:pStyle w:val="ListBullet"/>
        <w:spacing w:after="60"/>
      </w:pPr>
      <w:r>
        <w:rPr>
          <w:sz w:val="21"/>
        </w:rPr>
        <w:t>Hipcamp Australia bulk-listed 15 accommodation records as an aggregator.</w:t>
      </w:r>
    </w:p>
    <w:p>
      <w:pPr>
        <w:pStyle w:val="ListBullet"/>
        <w:spacing w:after="60"/>
      </w:pPr>
      <w:r>
        <w:rPr>
          <w:sz w:val="21"/>
        </w:rPr>
        <w:t>Government departments (Dept of Planning and Environment) own attraction records.</w:t>
      </w:r>
    </w:p>
    <w:p>
      <w:r>
        <w:t>There is no reliable way to contact 'the operator' via the data. Data freshness depends entirely on whether the custodian — often a council or state body — is actively maintaining records. Paradoxically, the aggregator (Hipcamp) produced higher-quality records than many direct submissions.</w:t>
      </w:r>
    </w:p>
    <w:p>
      <w:pPr>
        <w:pStyle w:val="Heading2"/>
      </w:pPr>
      <w:r>
        <w:rPr>
          <w:color w:val="1A1A2E"/>
        </w:rPr>
        <w:t>1.3  Tour geo is actively misleading</w:t>
      </w:r>
    </w:p>
    <w:p>
      <w:r>
        <w:t>62% of TOUR records have no latitude/longitude. Those that do have coordinates point to the operator's office — not where the tour operates. A Barossa wine tour maps to an Adelaide CBD office address. Placing TOUR records on a map using their coordinates would mislabel them geographically. The same operator (AAT Kings) appears as 5–7 separate records, one per state entity, each with a different depot address.</w:t>
      </w:r>
    </w:p>
    <w:p>
      <w:pPr>
        <w:pStyle w:val="Heading2"/>
      </w:pPr>
      <w:r>
        <w:rPr>
          <w:color w:val="1A1A2E"/>
        </w:rPr>
        <w:t>1.4  The category taxonomy is incomplete and inconsistent</w:t>
      </w:r>
    </w:p>
    <w:p>
      <w:r>
        <w:t>The dataset contains 11 distinct product_category_id values — only 5 were anticipated. Key issues:</w:t>
      </w:r>
    </w:p>
    <w:p>
      <w:pPr>
        <w:pStyle w:val="ListBullet"/>
        <w:spacing w:after="60"/>
      </w:pPr>
      <w:r>
        <w:rPr>
          <w:b/>
          <w:sz w:val="21"/>
        </w:rPr>
        <w:t xml:space="preserve">Wrong name: </w:t>
      </w:r>
      <w:r>
        <w:rPr>
          <w:sz w:val="21"/>
        </w:rPr>
        <w:t xml:space="preserve">FOOD does not exist. </w:t>
      </w:r>
    </w:p>
    <w:p>
      <w:pPr>
        <w:pStyle w:val="ListBullet"/>
        <w:spacing w:after="60"/>
      </w:pPr>
      <w:r>
        <w:rPr>
          <w:b/>
          <w:sz w:val="21"/>
        </w:rPr>
        <w:t xml:space="preserve">Wrong category name: </w:t>
      </w:r>
      <w:r>
        <w:rPr>
          <w:sz w:val="21"/>
        </w:rPr>
        <w:t>FOOD does not exist as a category code. The correct value is RESTAURANT. Any system built expecting 'FOOD' would silently return zero records.</w:t>
      </w:r>
    </w:p>
    <w:p>
      <w:pPr>
        <w:pStyle w:val="ListBullet"/>
        <w:spacing w:after="60"/>
      </w:pPr>
      <w:r>
        <w:rPr>
          <w:b/>
          <w:sz w:val="21"/>
        </w:rPr>
        <w:t xml:space="preserve">Silent filter failure: </w:t>
      </w:r>
      <w:r>
        <w:rPr>
          <w:sz w:val="21"/>
        </w:rPr>
        <w:t>The productType query filter is silently ignored — every category query returns the same unfiltered result set. Filtering must be done client-side against product_category_id.</w:t>
      </w:r>
    </w:p>
    <w:p>
      <w:pPr>
        <w:pStyle w:val="ListBullet"/>
        <w:spacing w:after="60"/>
      </w:pPr>
      <w:r>
        <w:rPr>
          <w:b/>
          <w:sz w:val="21"/>
        </w:rPr>
        <w:t xml:space="preserve">JOURNEY is two things: </w:t>
      </w:r>
      <w:r>
        <w:rPr>
          <w:sz w:val="21"/>
        </w:rPr>
        <w:t>JOURNEY contains two structurally different things: walking tracks (with distance/difficulty in description as plain text) and multi-day tourism itineraries. There is no sub-category to distinguish them.</w:t>
      </w:r>
    </w:p>
    <w:p>
      <w:pPr>
        <w:pStyle w:val="ListBullet"/>
        <w:spacing w:after="60"/>
      </w:pPr>
      <w:r>
        <w:rPr>
          <w:b/>
          <w:sz w:val="21"/>
        </w:rPr>
        <w:t xml:space="preserve">GENSERVICE is too broad: </w:t>
      </w:r>
      <w:r>
        <w:rPr>
          <w:sz w:val="21"/>
        </w:rPr>
        <w:t>GENSERVICE is a catch-all that includes B2B service suppliers (e.g. water-vending-machine providers) alongside tourism-relevant services. The category is too broad to filter on reliably.</w:t>
      </w:r>
    </w:p>
    <w:p>
      <w:pPr>
        <w:pStyle w:val="Heading2"/>
      </w:pPr>
      <w:r>
        <w:rPr>
          <w:color w:val="1A1A2E"/>
        </w:rPr>
        <w:t>1.5  The areas taxonomy is not a clean hierarchy</w:t>
      </w:r>
    </w:p>
    <w:p>
      <w:r>
        <w:t>The areas field can contain multiple values per record and mixes two different classification systems without distinguishing them:</w:t>
      </w:r>
    </w:p>
    <w:p>
      <w:pPr>
        <w:pStyle w:val="ListBullet"/>
        <w:spacing w:after="60"/>
      </w:pPr>
      <w:r>
        <w:rPr>
          <w:sz w:val="21"/>
        </w:rPr>
        <w:t>Tourism marketing regions (e.g. 'Country NSW', 'Barossa')</w:t>
      </w:r>
    </w:p>
    <w:p>
      <w:pPr>
        <w:pStyle w:val="ListBullet"/>
        <w:spacing w:after="60"/>
      </w:pPr>
      <w:r>
        <w:rPr>
          <w:sz w:val="21"/>
        </w:rPr>
        <w:t>Local government areas (e.g. 'City of Adelaide', 'Launceston and North')</w:t>
      </w:r>
    </w:p>
    <w:p>
      <w:r>
        <w:t>A single Tasmanian restaurant had three area values: 'Launceston and North', 'North West', 'North - Northeast'. Any filter or grouping built on areas will behave unpredictably. There is no canonical region list or documented hierarchy.</w:t>
      </w:r>
    </w:p>
    <w:p>
      <w:pPr>
        <w:pStyle w:val="Heading2"/>
      </w:pPr>
      <w:r>
        <w:rPr>
          <w:color w:val="1A1A2E"/>
        </w:rPr>
        <w:t>1.6  The data has a built-in TTL — it is not a one-time export</w:t>
      </w:r>
    </w:p>
    <w:p>
      <w:r>
        <w:t>Every record has an expires_at date on an approximate 12-month renewal cycle. 30 records in our 3,078-record dataset expire this month. Owning canonical data means owning the refresh cycle — not just the initial ingest. Records that are not renewed simply disappear from the API without notice.</w:t>
      </w:r>
    </w:p>
    <w:p>
      <w:pPr>
        <w:pStyle w:val="Heading2"/>
      </w:pPr>
      <w:r>
        <w:rPr>
          <w:color w:val="1A1A2E"/>
        </w:rPr>
        <w:t>1.7  Image URLs are distributor-scoped, not stable asset paths</w:t>
      </w:r>
    </w:p>
    <w:p>
      <w:r>
        <w:t>Every product image URL contains a base64-encoded JSON payload in the ?q= query parameter encoding the distributor ID and API key ID. If the distributor relationship or API key changes, every image URL in the canonical store breaks. These URLs are not suitable as stable identifiers for canonical records.</w:t>
      </w:r>
    </w:p>
    <w:p/>
    <w:p>
      <w:pPr>
        <w:pStyle w:val="Heading1"/>
      </w:pPr>
      <w:r>
        <w:rPr>
          <w:color w:val="1A1A2E"/>
        </w:rPr>
        <w:t>Question 2: What are the material concerns with migrating to schema.org?</w:t>
      </w:r>
    </w:p>
    <w:p>
      <w:pPr>
        <w:spacing w:before="120" w:after="120"/>
        <w:ind w:left="454" w:right="454"/>
      </w:pPr>
      <w:r>
        <w:rPr>
          <w:i/>
          <w:color w:val="333355"/>
          <w:sz w:val="21"/>
        </w:rPr>
        <w:t>"Schema.org solves a discoverability problem. ATDW's data has a modelling problem. Migrating to schema.org exposes the modelling problems without fixing them."</w:t>
      </w:r>
    </w:p>
    <w:p/>
    <w:p>
      <w:pPr>
        <w:pStyle w:val="Heading2"/>
      </w:pPr>
      <w:r>
        <w:rPr>
          <w:color w:val="1A1A2E"/>
        </w:rPr>
        <w:t>2.1  Category codes don't map cleanly to schema.org types</w:t>
      </w:r>
    </w:p>
    <w:p>
      <w:r>
        <w:t>Schema.org has specific types for tourism entities: LocalBusiness, FoodEstablishment, LodgingBusiness, TouristAttraction, Event, TouristTrip. ATDW's 11 category codes cross-cut these types in ways that don't resolve cleanly:</w:t>
      </w:r>
    </w:p>
    <w:p>
      <w:pPr>
        <w:pStyle w:val="ListBullet"/>
        <w:spacing w:after="60"/>
      </w:pPr>
      <w:r>
        <w:rPr>
          <w:sz w:val="21"/>
        </w:rPr>
        <w:t>RESTAURANT → FoodEstablishment  (clean)</w:t>
      </w:r>
    </w:p>
    <w:p>
      <w:pPr>
        <w:pStyle w:val="ListBullet"/>
        <w:spacing w:after="60"/>
      </w:pPr>
      <w:r>
        <w:rPr>
          <w:sz w:val="21"/>
        </w:rPr>
        <w:t>ACCOMM → LodgingBusiness  (clean)</w:t>
      </w:r>
    </w:p>
    <w:p>
      <w:pPr>
        <w:pStyle w:val="ListBullet"/>
        <w:spacing w:after="60"/>
      </w:pPr>
      <w:r>
        <w:rPr>
          <w:sz w:val="21"/>
        </w:rPr>
        <w:t>ATTRACTION → TouristAttraction  (clean)</w:t>
      </w:r>
    </w:p>
    <w:p>
      <w:pPr>
        <w:pStyle w:val="ListBullet"/>
        <w:spacing w:after="60"/>
      </w:pPr>
      <w:r>
        <w:rPr>
          <w:sz w:val="21"/>
        </w:rPr>
        <w:t>EVENT → Event  (clean, but see date issues below)</w:t>
      </w:r>
    </w:p>
    <w:p>
      <w:pPr>
        <w:pStyle w:val="ListBullet"/>
        <w:spacing w:after="60"/>
      </w:pPr>
      <w:r>
        <w:rPr>
          <w:sz w:val="21"/>
        </w:rPr>
        <w:t>TOUR → TouristTrip  (partial — TouristTrip assumes a route, ATDW TOUR records have operator addresses only)</w:t>
      </w:r>
    </w:p>
    <w:p>
      <w:pPr>
        <w:pStyle w:val="ListBullet"/>
        <w:spacing w:after="60"/>
      </w:pPr>
      <w:r>
        <w:rPr>
          <w:sz w:val="21"/>
        </w:rPr>
        <w:t>JOURNEY → no clean type. Walking tracks ≈ some SportsActivityLocation; itineraries ≈ TouristTrip. Same ATDW category, two different schema.org types.</w:t>
      </w:r>
    </w:p>
    <w:p>
      <w:pPr>
        <w:pStyle w:val="ListBullet"/>
        <w:spacing w:after="60"/>
      </w:pPr>
      <w:r>
        <w:rPr>
          <w:sz w:val="21"/>
        </w:rPr>
        <w:t>DESTINFO → no schema.org equivalent. Destination guides are content, not entities.</w:t>
      </w:r>
    </w:p>
    <w:p>
      <w:pPr>
        <w:pStyle w:val="ListBullet"/>
        <w:spacing w:after="60"/>
      </w:pPr>
      <w:r>
        <w:rPr>
          <w:sz w:val="21"/>
        </w:rPr>
        <w:t>GENSERVICE, HIRE, TRANSPORT, INFO → LocalBusiness at best, losing all categorical meaning.</w:t>
      </w:r>
    </w:p>
    <w:p>
      <w:r>
        <w:t>The migration would require a category-to-type mapping table with explicit fallbacks, and would still lose information for at least 4 of 11 categories.</w:t>
      </w:r>
    </w:p>
    <w:p>
      <w:pPr>
        <w:pStyle w:val="Heading2"/>
      </w:pPr>
      <w:r>
        <w:rPr>
          <w:color w:val="1A1A2E"/>
        </w:rPr>
        <w:t>2.2  The operator identity problem gets worse under schema.org</w:t>
      </w:r>
    </w:p>
    <w:p>
      <w:r>
        <w:t>Schema.org's provider, organizer, and author properties are assumed to describe the actual entity performing the service. ATDW's organisation_name is whoever submitted the record — frequently a visitor centre, state tourism body, or aggregator. Emitting schema.org markup with a visitor centre as the 'provider' of a restaurant is semantically wrong and would produce misleading structured data for search engines.</w:t>
      </w:r>
    </w:p>
    <w:p>
      <w:pPr>
        <w:pStyle w:val="Heading2"/>
      </w:pPr>
      <w:r>
        <w:rPr>
          <w:color w:val="1A1A2E"/>
        </w:rPr>
        <w:t>2.3  Event dates are incomplete for schema.org</w:t>
      </w:r>
    </w:p>
    <w:p>
      <w:r>
        <w:t>Schema.org Event requires startDate and ideally endDate. ATDW provides:</w:t>
      </w:r>
    </w:p>
    <w:p>
      <w:pPr>
        <w:pStyle w:val="ListBullet"/>
        <w:spacing w:after="60"/>
      </w:pPr>
      <w:r>
        <w:rPr>
          <w:sz w:val="21"/>
        </w:rPr>
        <w:t>next_occurrence: the next upcoming instance of the event (not the series start date)</w:t>
      </w:r>
    </w:p>
    <w:p>
      <w:pPr>
        <w:pStyle w:val="ListBullet"/>
        <w:spacing w:after="60"/>
      </w:pPr>
      <w:r>
        <w:rPr>
          <w:sz w:val="21"/>
        </w:rPr>
        <w:t>expires_at: when the record expires, which for one-off events equals the event date</w:t>
      </w:r>
    </w:p>
    <w:p>
      <w:r>
        <w:t>For recurring events, there is no series start date, no recurrence rule, and no end date. Schema.org markup for recurring events (e.g. weekly trivia nights) would be technically non-compliant or require fabricating a recurrence pattern that isn't in the data.</w:t>
      </w:r>
    </w:p>
    <w:p>
      <w:pPr>
        <w:pStyle w:val="Heading2"/>
      </w:pPr>
      <w:r>
        <w:rPr>
          <w:color w:val="1A1A2E"/>
        </w:rPr>
        <w:t>2.4  Image URLs are not stable enough for schema.org</w:t>
      </w:r>
    </w:p>
    <w:p>
      <w:r>
        <w:t>Schema.org image properties are indexed by search engines as stable asset URLs. ATDW image URLs encode distributor and API key context in the query string. A key rotation or distributor change would invalidate every image in any schema.org-compliant canonical store, causing broken rich results across Google and other consumers.</w:t>
      </w:r>
    </w:p>
    <w:p>
      <w:pPr>
        <w:pStyle w:val="Heading2"/>
      </w:pPr>
      <w:r>
        <w:rPr>
          <w:color w:val="1A1A2E"/>
        </w:rPr>
        <w:t>2.5  The areas / region fields have no schema.org mapping</w:t>
      </w:r>
    </w:p>
    <w:p>
      <w:r>
        <w:t>ATDW's areas and region fields carry tourism marketing region data that is material to how records are discovered and presented. Schema.org PostalAddress covers country, state, postcode, city — but not tourism regions. This information would be lost entirely in a schema.org migration, or would require a custom extension that loses interoperability.</w:t>
      </w:r>
    </w:p>
    <w:p>
      <w:pPr>
        <w:pStyle w:val="Heading2"/>
      </w:pPr>
      <w:r>
        <w:rPr>
          <w:color w:val="1A1A2E"/>
        </w:rPr>
        <w:t>2.6  Deduplication must be solved before schema.org — not after</w:t>
      </w:r>
    </w:p>
    <w:p>
      <w:r>
        <w:t>Schema.org assumes one canonical URL per real-world entity. ATDW has multiple records for the same real-world entity: AAT Kings appears as 5+ separate records (one per state), the same fishing lesson operator appears 8 times (one per location). Emitting schema.org without first resolving these duplicates would tell search engines there are 8 separate entities where there is one. Deduplication is a pre-condition for schema.org, not a follow-on task.</w:t>
      </w:r>
    </w:p>
    <w:p>
      <w:pPr>
        <w:pStyle w:val="Heading2"/>
      </w:pPr>
      <w:r>
        <w:rPr>
          <w:color w:val="1A1A2E"/>
        </w:rPr>
        <w:t>2.7  Geo data for TOUR is unsuitable for schema.org geo properties</w:t>
      </w:r>
    </w:p>
    <w:p>
      <w:r>
        <w:t>Schema.org LocalBusiness and TouristTrip both support a geo property (GeoCoordinates). Using ATDW's TOUR coordinates would place tours at operator office addresses — a Barossa wine tour would appear in Adelaide in any geo-aware search result. This is worse than omitting the geo property entirely.</w:t>
      </w:r>
    </w:p>
    <w:p/>
    <w:p>
      <w:pPr>
        <w:pStyle w:val="Heading1"/>
      </w:pPr>
      <w:r>
        <w:rPr>
          <w:color w:val="1A1A2E"/>
        </w:rPr>
        <w:t>Summary: What needs to be true before canonical ownership is viable</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19"/>
              </w:rPr>
              <w:t>Problem</w:t>
            </w:r>
          </w:p>
        </w:tc>
        <w:tc>
          <w:tcPr>
            <w:tcW w:type="dxa" w:w="3135"/>
          </w:tcPr>
          <w:p>
            <w:r>
              <w:rPr>
                <w:b/>
                <w:sz w:val="19"/>
              </w:rPr>
              <w:t>Effort</w:t>
            </w:r>
          </w:p>
        </w:tc>
        <w:tc>
          <w:tcPr>
            <w:tcW w:type="dxa" w:w="3135"/>
          </w:tcPr>
          <w:p>
            <w:r>
              <w:rPr>
                <w:b/>
                <w:sz w:val="19"/>
              </w:rPr>
              <w:t>Blocks schema.org?</w:t>
            </w:r>
          </w:p>
        </w:tc>
      </w:tr>
      <w:tr>
        <w:tc>
          <w:tcPr>
            <w:tcW w:type="dxa" w:w="3135"/>
          </w:tcPr>
          <w:p>
            <w:r>
              <w:rPr>
                <w:sz w:val="18"/>
              </w:rPr>
              <w:t>No tombstone / deletion signal</w:t>
            </w:r>
          </w:p>
        </w:tc>
        <w:tc>
          <w:tcPr>
            <w:tcW w:type="dxa" w:w="3135"/>
          </w:tcPr>
          <w:p>
            <w:r>
              <w:rPr>
                <w:sz w:val="18"/>
              </w:rPr>
              <w:t>High — requires change to DAPI or delta tracking</w:t>
            </w:r>
          </w:p>
        </w:tc>
        <w:tc>
          <w:tcPr>
            <w:tcW w:type="dxa" w:w="3135"/>
          </w:tcPr>
          <w:p>
            <w:r>
              <w:rPr>
                <w:sz w:val="18"/>
              </w:rPr>
              <w:t>No</w:t>
            </w:r>
          </w:p>
        </w:tc>
      </w:tr>
      <w:tr>
        <w:tc>
          <w:tcPr>
            <w:tcW w:type="dxa" w:w="3135"/>
          </w:tcPr>
          <w:p>
            <w:r>
              <w:rPr>
                <w:sz w:val="18"/>
              </w:rPr>
              <w:t>Proxy custodians, not operators</w:t>
            </w:r>
          </w:p>
        </w:tc>
        <w:tc>
          <w:tcPr>
            <w:tcW w:type="dxa" w:w="3135"/>
          </w:tcPr>
          <w:p>
            <w:r>
              <w:rPr>
                <w:sz w:val="18"/>
              </w:rPr>
              <w:t>High — requires data governance change</w:t>
            </w:r>
          </w:p>
        </w:tc>
        <w:tc>
          <w:tcPr>
            <w:tcW w:type="dxa" w:w="3135"/>
          </w:tcPr>
          <w:p>
            <w:r>
              <w:rPr>
                <w:sz w:val="18"/>
              </w:rPr>
              <w:t>Yes (provider field)</w:t>
            </w:r>
          </w:p>
        </w:tc>
      </w:tr>
      <w:tr>
        <w:tc>
          <w:tcPr>
            <w:tcW w:type="dxa" w:w="3135"/>
          </w:tcPr>
          <w:p>
            <w:r>
              <w:rPr>
                <w:sz w:val="18"/>
              </w:rPr>
              <w:t>TOUR geo is misleading</w:t>
            </w:r>
          </w:p>
        </w:tc>
        <w:tc>
          <w:tcPr>
            <w:tcW w:type="dxa" w:w="3135"/>
          </w:tcPr>
          <w:p>
            <w:r>
              <w:rPr>
                <w:sz w:val="18"/>
              </w:rPr>
              <w:t>Medium — requires operator input or geo enrichment</w:t>
            </w:r>
          </w:p>
        </w:tc>
        <w:tc>
          <w:tcPr>
            <w:tcW w:type="dxa" w:w="3135"/>
          </w:tcPr>
          <w:p>
            <w:r>
              <w:rPr>
                <w:sz w:val="18"/>
              </w:rPr>
              <w:t>Yes (geo property)</w:t>
            </w:r>
          </w:p>
        </w:tc>
      </w:tr>
      <w:tr>
        <w:tc>
          <w:tcPr>
            <w:tcW w:type="dxa" w:w="3135"/>
          </w:tcPr>
          <w:p>
            <w:r>
              <w:rPr>
                <w:sz w:val="18"/>
              </w:rPr>
              <w:t>productType filter silently ignored</w:t>
            </w:r>
          </w:p>
        </w:tc>
        <w:tc>
          <w:tcPr>
            <w:tcW w:type="dxa" w:w="3135"/>
          </w:tcPr>
          <w:p>
            <w:r>
              <w:rPr>
                <w:sz w:val="18"/>
              </w:rPr>
              <w:t>Low — filter client-side on product_category_id</w:t>
            </w:r>
          </w:p>
        </w:tc>
        <w:tc>
          <w:tcPr>
            <w:tcW w:type="dxa" w:w="3135"/>
          </w:tcPr>
          <w:p>
            <w:r>
              <w:rPr>
                <w:sz w:val="18"/>
              </w:rPr>
              <w:t>No</w:t>
            </w:r>
          </w:p>
        </w:tc>
      </w:tr>
      <w:tr>
        <w:tc>
          <w:tcPr>
            <w:tcW w:type="dxa" w:w="3135"/>
          </w:tcPr>
          <w:p>
            <w:r>
              <w:rPr>
                <w:sz w:val="18"/>
              </w:rPr>
              <w:t>FOOD → RESTAURANT naming mismatch</w:t>
            </w:r>
          </w:p>
        </w:tc>
        <w:tc>
          <w:tcPr>
            <w:tcW w:type="dxa" w:w="3135"/>
          </w:tcPr>
          <w:p>
            <w:r>
              <w:rPr>
                <w:sz w:val="18"/>
              </w:rPr>
              <w:t>Low — update expected category codes</w:t>
            </w:r>
          </w:p>
        </w:tc>
        <w:tc>
          <w:tcPr>
            <w:tcW w:type="dxa" w:w="3135"/>
          </w:tcPr>
          <w:p>
            <w:r>
              <w:rPr>
                <w:sz w:val="18"/>
              </w:rPr>
              <w:t>No</w:t>
            </w:r>
          </w:p>
        </w:tc>
      </w:tr>
      <w:tr>
        <w:tc>
          <w:tcPr>
            <w:tcW w:type="dxa" w:w="3135"/>
          </w:tcPr>
          <w:p>
            <w:r>
              <w:rPr>
                <w:sz w:val="18"/>
              </w:rPr>
              <w:t>JOURNEY mixes trails and itineraries</w:t>
            </w:r>
          </w:p>
        </w:tc>
        <w:tc>
          <w:tcPr>
            <w:tcW w:type="dxa" w:w="3135"/>
          </w:tcPr>
          <w:p>
            <w:r>
              <w:rPr>
                <w:sz w:val="18"/>
              </w:rPr>
              <w:t>Medium — requires sub-category or split schema</w:t>
            </w:r>
          </w:p>
        </w:tc>
        <w:tc>
          <w:tcPr>
            <w:tcW w:type="dxa" w:w="3135"/>
          </w:tcPr>
          <w:p>
            <w:r>
              <w:rPr>
                <w:sz w:val="18"/>
              </w:rPr>
              <w:t>Yes (type mapping)</w:t>
            </w:r>
          </w:p>
        </w:tc>
      </w:tr>
      <w:tr>
        <w:tc>
          <w:tcPr>
            <w:tcW w:type="dxa" w:w="3135"/>
          </w:tcPr>
          <w:p>
            <w:r>
              <w:rPr>
                <w:sz w:val="18"/>
              </w:rPr>
              <w:t>Areas taxonomy inconsistent</w:t>
            </w:r>
          </w:p>
        </w:tc>
        <w:tc>
          <w:tcPr>
            <w:tcW w:type="dxa" w:w="3135"/>
          </w:tcPr>
          <w:p>
            <w:r>
              <w:rPr>
                <w:sz w:val="18"/>
              </w:rPr>
              <w:t>High — requires authoritative region taxonomy</w:t>
            </w:r>
          </w:p>
        </w:tc>
        <w:tc>
          <w:tcPr>
            <w:tcW w:type="dxa" w:w="3135"/>
          </w:tcPr>
          <w:p>
            <w:r>
              <w:rPr>
                <w:sz w:val="18"/>
              </w:rPr>
              <w:t>Yes (no mapping exists)</w:t>
            </w:r>
          </w:p>
        </w:tc>
      </w:tr>
      <w:tr>
        <w:tc>
          <w:tcPr>
            <w:tcW w:type="dxa" w:w="3135"/>
          </w:tcPr>
          <w:p>
            <w:r>
              <w:rPr>
                <w:sz w:val="18"/>
              </w:rPr>
              <w:t>Image URLs are distributor-scoped</w:t>
            </w:r>
          </w:p>
        </w:tc>
        <w:tc>
          <w:tcPr>
            <w:tcW w:type="dxa" w:w="3135"/>
          </w:tcPr>
          <w:p>
            <w:r>
              <w:rPr>
                <w:sz w:val="18"/>
              </w:rPr>
              <w:t>Medium — requires stable CDN or asset proxy</w:t>
            </w:r>
          </w:p>
        </w:tc>
        <w:tc>
          <w:tcPr>
            <w:tcW w:type="dxa" w:w="3135"/>
          </w:tcPr>
          <w:p>
            <w:r>
              <w:rPr>
                <w:sz w:val="18"/>
              </w:rPr>
              <w:t>Yes (image property)</w:t>
            </w:r>
          </w:p>
        </w:tc>
      </w:tr>
      <w:tr>
        <w:tc>
          <w:tcPr>
            <w:tcW w:type="dxa" w:w="3135"/>
          </w:tcPr>
          <w:p>
            <w:r>
              <w:rPr>
                <w:sz w:val="18"/>
              </w:rPr>
              <w:t>Records expire without notice</w:t>
            </w:r>
          </w:p>
        </w:tc>
        <w:tc>
          <w:tcPr>
            <w:tcW w:type="dxa" w:w="3135"/>
          </w:tcPr>
          <w:p>
            <w:r>
              <w:rPr>
                <w:sz w:val="18"/>
              </w:rPr>
              <w:t>Medium — requires scheduled sync + expiry tracking</w:t>
            </w:r>
          </w:p>
        </w:tc>
        <w:tc>
          <w:tcPr>
            <w:tcW w:type="dxa" w:w="3135"/>
          </w:tcPr>
          <w:p>
            <w:r>
              <w:rPr>
                <w:sz w:val="18"/>
              </w:rPr>
              <w:t>No</w:t>
            </w:r>
          </w:p>
        </w:tc>
      </w:tr>
      <w:tr>
        <w:tc>
          <w:tcPr>
            <w:tcW w:type="dxa" w:w="3135"/>
          </w:tcPr>
          <w:p>
            <w:r>
              <w:rPr>
                <w:sz w:val="18"/>
              </w:rPr>
              <w:t>Duplicates across state entities</w:t>
            </w:r>
          </w:p>
        </w:tc>
        <w:tc>
          <w:tcPr>
            <w:tcW w:type="dxa" w:w="3135"/>
          </w:tcPr>
          <w:p>
            <w:r>
              <w:rPr>
                <w:sz w:val="18"/>
              </w:rPr>
              <w:t>High — requires entity resolution</w:t>
            </w:r>
          </w:p>
        </w:tc>
        <w:tc>
          <w:tcPr>
            <w:tcW w:type="dxa" w:w="3135"/>
          </w:tcPr>
          <w:p>
            <w:r>
              <w:rPr>
                <w:sz w:val="18"/>
              </w:rPr>
              <w:t>Yes (one URL per entity)</w:t>
            </w:r>
          </w:p>
        </w:tc>
      </w:tr>
      <w:tr>
        <w:tc>
          <w:tcPr>
            <w:tcW w:type="dxa" w:w="3135"/>
          </w:tcPr>
          <w:p>
            <w:r>
              <w:rPr>
                <w:sz w:val="18"/>
              </w:rPr>
              <w:t>Event dates incomplete</w:t>
            </w:r>
          </w:p>
        </w:tc>
        <w:tc>
          <w:tcPr>
            <w:tcW w:type="dxa" w:w="3135"/>
          </w:tcPr>
          <w:p>
            <w:r>
              <w:rPr>
                <w:sz w:val="18"/>
              </w:rPr>
              <w:t>Medium — acceptable for one-off, broken for recurring</w:t>
            </w:r>
          </w:p>
        </w:tc>
        <w:tc>
          <w:tcPr>
            <w:tcW w:type="dxa" w:w="3135"/>
          </w:tcPr>
          <w:p>
            <w:r>
              <w:rPr>
                <w:sz w:val="18"/>
              </w:rPr>
              <w:t>Yes (startDate/endDate)</w:t>
            </w:r>
          </w:p>
        </w:tc>
      </w:tr>
    </w:tbl>
    <w:p/>
    <w:p>
      <w:r>
        <w:t>Prepared from hands-on probe against live ATDW DAPI data. Findings are independent — generated without reference to prior architecture notes or vendor material.</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