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600"/>
      </w:tblGrid>
      <w:tr>
        <w:tc>
          <w:tcPr>
            <w:tcW w:type="dxa" w:w="5256"/>
          </w:tcPr>
          <w:p>
            <w:r>
              <w:rPr>
                <w:b/>
                <w:color w:val="1A1A1F"/>
                <w:sz w:val="40"/>
              </w:rPr>
              <w:t>CAMELBACK LAW GROUP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color w:val="666666"/>
                <w:sz w:val="18"/>
              </w:rPr>
              <w:t>(480) 203-3039</w:t>
              <w:br/>
              <w:t>www.clglawaz.com</w:t>
            </w:r>
          </w:p>
        </w:tc>
      </w:tr>
    </w:tbl>
    <w:p>
      <w:r>
        <w:rPr>
          <w:b/>
          <w:color w:val="B87333"/>
          <w:sz w:val="26"/>
        </w:rPr>
        <w:t>COMMERCIAL REAL ESTATE CLOSING CHECKLIST</w:t>
      </w:r>
    </w:p>
    <w:p>
      <w:pPr>
        <w:spacing w:after="240"/>
      </w:pPr>
      <w:r>
        <w:rPr>
          <w:color w:val="B87333"/>
          <w:sz w:val="12"/>
        </w:rPr>
        <w:t>_______________________________________________________________________________________________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1872"/>
        <w:gridCol w:w="3384"/>
        <w:gridCol w:w="1872"/>
        <w:gridCol w:w="3384"/>
      </w:tblGrid>
      <w:tr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Property:</w:t>
            </w:r>
          </w:p>
        </w:tc>
        <w:tc>
          <w:tcPr>
            <w:tcW w:type="dxa" w:w="7884"/>
            <w:gridSpan w:val="3"/>
            <w:shd w:fill="F8F7F5" w:val="clear"/>
          </w:tcPr>
          <w:p>
            <w:r>
              <w:rPr>
                <w:sz w:val="18"/>
              </w:rPr>
            </w:r>
          </w:p>
          <w:p>
            <w:r>
              <w:rPr>
                <w:b/>
                <w:sz w:val="18"/>
              </w:rPr>
            </w:r>
          </w:p>
          <w:p>
            <w:r>
              <w:rPr>
                <w:sz w:val="18"/>
              </w:rPr>
            </w:r>
          </w:p>
        </w:tc>
      </w:tr>
      <w:tr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Purchase Price: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Closing Date: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Title/Escrow Co: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File/Escrow #: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Escrow Officer: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Officer Phone: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Your Role: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  <w:t>☐ Buyer   ☐ Seller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b/>
                <w:sz w:val="18"/>
              </w:rPr>
              <w:t>Property Type:</w:t>
            </w:r>
          </w:p>
        </w:tc>
        <w:tc>
          <w:tcPr>
            <w:tcW w:type="dxa" w:w="2628"/>
            <w:shd w:fill="F8F7F5" w:val="clear"/>
          </w:tcPr>
          <w:p>
            <w:r>
              <w:rPr>
                <w:sz w:val="18"/>
              </w:rPr>
            </w:r>
          </w:p>
        </w:tc>
      </w:tr>
    </w:tbl>
    <w:p>
      <w:pPr>
        <w:spacing w:before="200" w:after="160"/>
      </w:pPr>
      <w:r>
        <w:rPr>
          <w:b/>
          <w:color w:val="1A1A1F"/>
          <w:sz w:val="16"/>
        </w:rPr>
        <w:t xml:space="preserve">Party Key: </w:t>
      </w:r>
      <w:r>
        <w:rPr>
          <w:color w:val="666666"/>
          <w:sz w:val="16"/>
        </w:rPr>
        <w:t>B = Buyer  |  S = Seller  |  T = Title/Escrow  |  L = Lender  |  B/S = Both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1A1A1F" w:val="clear"/>
          </w:tcPr>
          <w:p>
            <w:r>
              <w:rPr>
                <w:b/>
                <w:color w:val="FFFFFF"/>
                <w:sz w:val="22"/>
              </w:rPr>
              <w:t>PRE-CLOSING PREPARATION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CLOSING DOCUMENTS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Deed prepared (Special Warranty or as negotiated)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Bill of Sale for personal property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Assignment of Leases and Security Deposits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Assignment of Contracts, Warranties, and Permits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Tenant notification letters prepared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Seller's closing affidavit / owner's affidavit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FIRPTA affidavit / non-foreign certification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1099-S information / tax reporting form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Bring-down certificate (reps &amp; warranties)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Entity resolutions and authority documents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Certificates of good standing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TITLE &amp; ESCROW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Final title commitment received and reviewed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Title objections resolved; curative docs obtained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S/T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Required endorsements confirmed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Pro-rations calculated and approved (taxes, rents, CAM)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Preliminary settlement statement reviewed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Escrow instructions signed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Payoff demands obtained (existing loans, liens)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S/T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Gap indemnity / gap coverage confirmed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FINAL VERIFICATIONS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Walk-through completed; condition confirmed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Personal property inventory verified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Keys, codes, access devices inventoried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Utility transfer notices sent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Insurance bound; effective at closing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Lender clear to close; funding confirmed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1A1A1F" w:val="clear"/>
          </w:tcPr>
          <w:p>
            <w:r>
              <w:rPr>
                <w:b/>
                <w:color w:val="FFFFFF"/>
                <w:sz w:val="22"/>
              </w:rPr>
              <w:t>CLOSING DAY</w:t>
            </w:r>
          </w:p>
        </w:tc>
      </w:tr>
    </w:tbl>
    <w:p>
      <w:pPr>
        <w:spacing w:before="200" w:after="200"/>
        <w:jc w:val="center"/>
      </w:pPr>
      <w:r>
        <w:rPr>
          <w:b/>
          <w:color w:val="B87333"/>
          <w:sz w:val="18"/>
        </w:rPr>
        <w:t xml:space="preserve">⚠️ WIRE FRAUD ALERT: </w:t>
      </w:r>
      <w:r>
        <w:rPr>
          <w:color w:val="666666"/>
          <w:sz w:val="18"/>
        </w:rPr>
        <w:t>Verify all wire instructions by phone using a number you have independently confirmed. Never rely solely on emailed instructions.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FUNDS &amp; EXECUTION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Wire instructions verified by phone (use known number)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Funds wired to escrow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Escrow confirms receipt of all funds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Final settlement statement signed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All closing documents executed and notarized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Authorization to disburse / release signed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RECORDING &amp; TRANSFER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Deed recorded; recording number obtained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Deed of trust / mortgage recorded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Title policy ordered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Funds disbursed per settlement statement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Commission disbursed (if applicable)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Keys, codes, and access transferred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Possession confirmed (seller vacated)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NOTIFICATIONS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Tenant notification letters sent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Rent direction letters sent to tenants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Property management transitioned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Vendors and service providers notified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1A1A1F" w:val="clear"/>
          </w:tcPr>
          <w:p>
            <w:r>
              <w:rPr>
                <w:b/>
                <w:color w:val="FFFFFF"/>
                <w:sz w:val="22"/>
              </w:rPr>
              <w:t>POST-CLOSING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DOCUMENTS &amp; RECORDS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Original recorded deed received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Owner's title insurance policy received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Lender's title policy received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Loan documents secured and filed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Closing binder assembled and archived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ADMINISTRATIVE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County assessor notified; records updated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Insurance certificates distributed to lender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Utility accounts confirmed in buyer's name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Business licenses transferred / obtained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10512"/>
      </w:tblGrid>
      <w:tr>
        <w:tc>
          <w:tcPr>
            <w:tcW w:type="dxa" w:w="10512"/>
            <w:shd w:fill="F0EBE3" w:val="clear"/>
          </w:tcPr>
          <w:p>
            <w:r>
              <w:rPr>
                <w:b/>
                <w:color w:val="1A1A1F"/>
                <w:sz w:val="18"/>
              </w:rPr>
              <w:t>TRUE-UPS &amp; FOLLOW-UP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EEEEEE"/>
          <w:insideV w:val="single" w:sz="4" w:color="EEEEEE"/>
        </w:tblBorders>
      </w:tblPr>
      <w:tblGrid>
        <w:gridCol w:w="504"/>
        <w:gridCol w:w="6552"/>
        <w:gridCol w:w="648"/>
        <w:gridCol w:w="1080"/>
        <w:gridCol w:w="1728"/>
      </w:tblGrid>
      <w:tr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✓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Item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Party</w:t>
            </w:r>
          </w:p>
        </w:tc>
        <w:tc>
          <w:tcPr>
            <w:tcW w:type="dxa" w:w="2102"/>
            <w:shd w:fill="FAFAFA" w:val="clear"/>
          </w:tcPr>
          <w:p>
            <w:pPr>
              <w:jc w:val="center"/>
            </w:pPr>
            <w:r>
              <w:rPr>
                <w:b/>
                <w:color w:val="888888"/>
                <w:sz w:val="14"/>
              </w:rPr>
              <w:t>Date</w:t>
            </w:r>
          </w:p>
        </w:tc>
        <w:tc>
          <w:tcPr>
            <w:tcW w:type="dxa" w:w="2102"/>
            <w:shd w:fill="FAFAFA" w:val="clear"/>
          </w:tcPr>
          <w:p>
            <w:r>
              <w:rPr>
                <w:b/>
                <w:color w:val="888888"/>
                <w:sz w:val="14"/>
              </w:rPr>
              <w:t>Notes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Rent / CAM proration true-up completed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Security deposit transfer accounting confirmed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Post-closing escrows / holdbacks tracked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Survival periods and deadlines calendared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B/S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color w:val="B87333"/>
                <w:sz w:val="24"/>
              </w:rPr>
              <w:t>☐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Outstanding seller obligations monitored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color w:val="888888"/>
                <w:sz w:val="16"/>
              </w:rPr>
              <w:t>B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  <w:tc>
          <w:tcPr>
            <w:tcW w:type="dxa" w:w="2102"/>
          </w:tcPr>
          <w:p>
            <w:r>
              <w:rPr>
                <w:sz w:val="16"/>
              </w:rPr>
            </w:r>
          </w:p>
        </w:tc>
      </w:tr>
    </w:tbl>
    <w:p>
      <w:pPr>
        <w:spacing w:after="120"/>
      </w:pPr>
    </w:p>
    <w:p>
      <w:pPr>
        <w:spacing w:before="320"/>
      </w:pPr>
      <w:r>
        <w:rPr>
          <w:color w:val="B87333"/>
          <w:sz w:val="12"/>
        </w:rPr>
        <w:t>_______________________________________________________________________________________________</w:t>
      </w:r>
    </w:p>
    <w:p>
      <w:pPr>
        <w:jc w:val="center"/>
      </w:pPr>
      <w:r>
        <w:rPr>
          <w:b/>
          <w:color w:val="1A1A1F"/>
          <w:sz w:val="22"/>
        </w:rPr>
        <w:t>CAMELBACK LAW GROUP</w:t>
      </w:r>
    </w:p>
    <w:p>
      <w:pPr>
        <w:jc w:val="center"/>
      </w:pPr>
      <w:r>
        <w:rPr>
          <w:i/>
          <w:color w:val="888888"/>
          <w:sz w:val="18"/>
        </w:rPr>
        <w:t>Sophisticated Commercial Real Estate Counsel</w:t>
      </w:r>
    </w:p>
    <w:p>
      <w:pPr>
        <w:jc w:val="center"/>
      </w:pPr>
      <w:r>
        <w:rPr>
          <w:color w:val="B87333"/>
          <w:sz w:val="18"/>
        </w:rPr>
        <w:t>(480) 203-3039  •  info@clglawaz.com  •  www.clglawaz.com</w:t>
      </w:r>
    </w:p>
    <w:p>
      <w:pPr>
        <w:spacing w:before="160"/>
        <w:jc w:val="center"/>
      </w:pPr>
      <w:r>
        <w:rPr>
          <w:color w:val="AAAAAA"/>
          <w:sz w:val="14"/>
        </w:rPr>
        <w:t>This checklist is for informational purposes only and does not constitute legal advice. Each transaction is unique—consult counsel for specific guidance.</w:t>
      </w:r>
    </w:p>
    <w:sectPr w:rsidR="00FC693F" w:rsidRPr="0006063C" w:rsidSect="00034616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