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unc-noddi-diffusion-mri-dashboard"/>
      <w:r>
        <w:rPr/>
        <w:t>NODDI Diffusion MRI Dashboard</w:t>
      </w:r>
    </w:p>
    <w:p>
      <w:pPr>
        <w:pStyle w:val="BodyText"/>
        <w:spacing w:before="360" w:after="80"/>
        <w:rPr/>
      </w:pPr>
      <w:r>
        <w:rPr/>
        <w:t xml:space="preserve">Prepared by Todd L. Richards, PhD, University of Washington under the direction of Project Leader, James Meabon, Seattle VA Hospital.  The software </w:t>
      </w:r>
      <w:r>
        <w:rPr/>
        <w:t>for the dashboard</w:t>
      </w:r>
      <w:r>
        <w:rPr/>
        <w:t xml:space="preserve"> was developed with the help of AI chatgpt version 5.0 after instructions were given by Dr. Richards and ou</w:t>
      </w:r>
      <w:r>
        <w:rPr/>
        <w:t>t</w:t>
      </w:r>
      <w:r>
        <w:rPr/>
        <w:t xml:space="preserve">put </w:t>
      </w:r>
      <w:r>
        <w:rPr/>
        <w:t>results were checked.</w:t>
      </w:r>
    </w:p>
    <w:p>
      <w:pPr>
        <w:pStyle w:val="Heading2"/>
        <w:rPr/>
      </w:pPr>
      <w:r>
        <w:rPr/>
        <w:t>Introduction</w:t>
      </w:r>
    </w:p>
    <w:p>
      <w:pPr>
        <w:pStyle w:val="FirstParagraph"/>
        <w:rPr/>
      </w:pPr>
      <w:r>
        <w:rPr/>
        <w:t>Diffusion-weighted magnetic resonance imaging (dMRI) provides quantitative measures that are sensitive to the organization and microstructural properties of brain tissue. Conventional diffusion tensor imaging (DTI) measures provide useful descriptions of water diffusion but have limited ability to distinguish among the underlying biological compartments contributing to the diffusion signal. Neurite Orientation Dispersion and Density Imaging (NODDI) extends diffusion MRI by modeling multiple tissue compartments and provides measures related to neurite density, orientation dispersion, and extracellular and intracellular diffusion properties.</w:t>
      </w:r>
    </w:p>
    <w:p>
      <w:pPr>
        <w:pStyle w:val="BodyText"/>
        <w:rPr/>
      </w:pPr>
      <w:r>
        <w:rPr/>
        <w:t xml:space="preserve">The </w:t>
      </w:r>
      <w:r>
        <w:rPr>
          <w:b/>
          <w:bCs/>
        </w:rPr>
        <w:t>UNC NODDI Diffusion MRI Dashboard</w:t>
      </w:r>
      <w:r>
        <w:rPr/>
        <w:t xml:space="preserve"> was developed as an interactive tool for exploring regional NODDI-derived diffusion measurements in a cohort of </w:t>
      </w:r>
      <w:r>
        <w:rPr>
          <w:b/>
          <w:bCs/>
        </w:rPr>
        <w:t>55 UNC subjects</w:t>
      </w:r>
      <w:r>
        <w:rPr/>
        <w:t>. The dashboard integrates subject-level regional diffusion measurements with information describing blast exposure and allows investigators to interactively examine relationships between exposure and brain microstructure.</w:t>
      </w:r>
    </w:p>
    <w:p>
      <w:pPr>
        <w:pStyle w:val="BodyText"/>
        <w:rPr/>
      </w:pPr>
      <w:bookmarkStart w:id="1" w:name="introduction"/>
      <w:r>
        <w:rPr/>
        <w:t>Rather than requiring investigators to write separate statistical programs for each exploratory analysis, the dashboard provides a graphical interface for selecting diffusion metrics, brain regions, exposure variables, and statistical comparisons. The primary purpose of the dashboard is hypothesis generation and exploratory analysis: it allows researchers to rapidly identify brain regions and diffusion parameters that may warrant more detailed confirmatory statistical analysis.</w:t>
      </w:r>
      <w:bookmarkEnd w:id="1"/>
    </w:p>
    <w:p>
      <w:pPr>
        <w:pStyle w:val="Heading2"/>
        <w:rPr/>
      </w:pPr>
      <w:r>
        <w:rPr/>
        <w:t>Study Cohort</w:t>
      </w:r>
    </w:p>
    <w:p>
      <w:pPr>
        <w:pStyle w:val="FirstParagraph"/>
        <w:rPr/>
      </w:pPr>
      <w:r>
        <w:rPr/>
        <w:t xml:space="preserve">The dashboard contains diffusion MRI measurements from </w:t>
      </w:r>
      <w:r>
        <w:rPr>
          <w:b/>
          <w:bCs/>
        </w:rPr>
        <w:t>55 subjects from the UNC cohort</w:t>
      </w:r>
      <w:r>
        <w:rPr/>
        <w:t xml:space="preserve"> for whom the required diffusion imaging and associated exposure information were available.</w:t>
      </w:r>
    </w:p>
    <w:p>
      <w:pPr>
        <w:pStyle w:val="BodyText"/>
        <w:rPr/>
      </w:pPr>
      <w:r>
        <w:rPr/>
        <w:t>For each participant, NODDI modeling was performed on the diffusion MRI data. Regional measurements were subsequently extracted from anatomically defined brain regions, producing subject-by-region datasets for each diffusion parameter.</w:t>
      </w:r>
    </w:p>
    <w:p>
      <w:pPr>
        <w:pStyle w:val="BodyText"/>
        <w:rPr/>
      </w:pPr>
      <w:bookmarkStart w:id="2" w:name="study-cohort"/>
      <w:r>
        <w:rPr/>
        <w:t>Blast-exposure information was linked with the imaging measurements at the individual-subject level. This organization allows the dashboard to compare regional diffusion characteristics with measures of blast exposure across participants.</w:t>
      </w:r>
      <w:bookmarkEnd w:id="2"/>
    </w:p>
    <w:p>
      <w:pPr>
        <w:pStyle w:val="Heading2"/>
        <w:rPr/>
      </w:pPr>
      <w:r>
        <w:rPr/>
        <w:t>NODDI Diffusion Measures</w:t>
      </w:r>
    </w:p>
    <w:p>
      <w:pPr>
        <w:pStyle w:val="FirstParagraph"/>
        <w:rPr/>
      </w:pPr>
      <w:r>
        <w:rPr/>
        <w:t>The dashboard provides access to multiple parameters derived from the NODDI diffusion model. These include measures representing intracellular, extracellular, and isotropic diffusion components as well as measures describing neurite orientation.</w:t>
      </w:r>
    </w:p>
    <w:p>
      <w:pPr>
        <w:pStyle w:val="BodyText"/>
        <w:rPr/>
      </w:pPr>
      <w:r>
        <w:rPr/>
        <w:t>Important parameters available for exploration include:</w:t>
      </w:r>
    </w:p>
    <w:p>
      <w:pPr>
        <w:pStyle w:val="Compact"/>
        <w:numPr>
          <w:ilvl w:val="0"/>
          <w:numId w:val="1"/>
        </w:numPr>
        <w:rPr/>
      </w:pPr>
      <w:r>
        <w:rPr>
          <w:b/>
          <w:bCs/>
        </w:rPr>
        <w:t>NDI — Neurite Density Index.</w:t>
      </w:r>
      <w:r>
        <w:rPr/>
        <w:t xml:space="preserve"> A measure related to the fraction of tissue occupied by neurites and therefore an estimate of neurite density.</w:t>
      </w:r>
    </w:p>
    <w:p>
      <w:pPr>
        <w:pStyle w:val="Compact"/>
        <w:numPr>
          <w:ilvl w:val="0"/>
          <w:numId w:val="1"/>
        </w:numPr>
        <w:rPr/>
      </w:pPr>
      <w:r>
        <w:rPr>
          <w:b/>
          <w:bCs/>
        </w:rPr>
        <w:t>ODI — Orientation Dispersion Index.</w:t>
      </w:r>
      <w:r>
        <w:rPr/>
        <w:t xml:space="preserve"> Describes the degree to which neurites within a voxel have dispersed versus coherently aligned orientations.</w:t>
      </w:r>
    </w:p>
    <w:p>
      <w:pPr>
        <w:pStyle w:val="Compact"/>
        <w:numPr>
          <w:ilvl w:val="0"/>
          <w:numId w:val="1"/>
        </w:numPr>
        <w:rPr/>
      </w:pPr>
      <w:r>
        <w:rPr>
          <w:b/>
          <w:bCs/>
        </w:rPr>
        <w:t>Intracellular compartment parameters (NODDI_IC).</w:t>
      </w:r>
      <w:r>
        <w:rPr/>
        <w:t xml:space="preserve"> Parameters describing properties and orientation of the modeled intracellular compartment, including orientation-related quantities such as kappa, theta, phi, and vector components.</w:t>
      </w:r>
    </w:p>
    <w:p>
      <w:pPr>
        <w:pStyle w:val="Compact"/>
        <w:numPr>
          <w:ilvl w:val="0"/>
          <w:numId w:val="1"/>
        </w:numPr>
        <w:rPr/>
      </w:pPr>
      <w:r>
        <w:rPr>
          <w:b/>
          <w:bCs/>
        </w:rPr>
        <w:t>Extracellular compartment parameters (NODDI_EC).</w:t>
      </w:r>
      <w:r>
        <w:rPr/>
        <w:t xml:space="preserve"> Parameters describing the extracellular compartment, including orientation and dispersion-related measures such as kappa, theta, phi, vector components, and perpendicular diffusivity-related measures.</w:t>
      </w:r>
    </w:p>
    <w:p>
      <w:pPr>
        <w:pStyle w:val="Compact"/>
        <w:numPr>
          <w:ilvl w:val="0"/>
          <w:numId w:val="1"/>
        </w:numPr>
        <w:rPr/>
      </w:pPr>
      <w:r>
        <w:rPr>
          <w:b/>
          <w:bCs/>
        </w:rPr>
        <w:t>Compartment weights.</w:t>
      </w:r>
      <w:r>
        <w:rPr/>
        <w:t xml:space="preserve"> Measures representing the modeled contributions of intracellular, extracellular, and CSF-like compartments, including </w:t>
      </w:r>
      <w:r>
        <w:rPr>
          <w:rStyle w:val="VerbatimChar"/>
        </w:rPr>
        <w:t>w_ic</w:t>
      </w:r>
      <w:r>
        <w:rPr/>
        <w:t xml:space="preserve">, </w:t>
      </w:r>
      <w:r>
        <w:rPr>
          <w:rStyle w:val="VerbatimChar"/>
        </w:rPr>
        <w:t>w_ec</w:t>
      </w:r>
      <w:r>
        <w:rPr/>
        <w:t xml:space="preserve">, and </w:t>
      </w:r>
      <w:r>
        <w:rPr>
          <w:rStyle w:val="VerbatimChar"/>
        </w:rPr>
        <w:t>w_csf</w:t>
      </w:r>
      <w:r>
        <w:rPr/>
        <w:t>.</w:t>
      </w:r>
    </w:p>
    <w:p>
      <w:pPr>
        <w:pStyle w:val="Compact"/>
        <w:numPr>
          <w:ilvl w:val="0"/>
          <w:numId w:val="1"/>
        </w:numPr>
        <w:rPr/>
      </w:pPr>
      <w:r>
        <w:rPr>
          <w:b/>
          <w:bCs/>
        </w:rPr>
        <w:t>Model-fit measures.</w:t>
      </w:r>
      <w:r>
        <w:rPr/>
        <w:t xml:space="preserve"> The dashboard also includes quantities such as log likelihood and model-selection statistics including AIC, AICc, and BIC. These measures can be useful for examining model behavior and identifying regions or subjects in which the NODDI model provides comparatively better or poorer fits.</w:t>
      </w:r>
    </w:p>
    <w:p>
      <w:pPr>
        <w:pStyle w:val="FirstParagraph"/>
        <w:rPr/>
      </w:pPr>
      <w:bookmarkStart w:id="3" w:name="noddi-diffusion-measures"/>
      <w:r>
        <w:rPr/>
        <w:t>Together, these measures permit exploration of several complementary aspects of diffusion-derived tissue microstructure rather than relying on a single NODDI parameter.</w:t>
      </w:r>
      <w:bookmarkEnd w:id="3"/>
    </w:p>
    <w:p>
      <w:pPr>
        <w:pStyle w:val="Heading2"/>
        <w:rPr/>
      </w:pPr>
      <w:r>
        <w:rPr/>
        <w:t>Regional Brain Measurements</w:t>
      </w:r>
    </w:p>
    <w:p>
      <w:pPr>
        <w:pStyle w:val="FirstParagraph"/>
        <w:rPr/>
      </w:pPr>
      <w:r>
        <w:rPr/>
        <w:t>For each NODDI parameter, subject-level values were extracted for multiple anatomically defined brain regions. The resulting datasets therefore have the general organization:</w:t>
      </w:r>
    </w:p>
    <w:p>
      <w:pPr>
        <w:pStyle w:val="BodyText"/>
        <w:rPr/>
      </w:pPr>
      <w:r>
        <w:rPr>
          <w:b/>
          <w:bCs/>
        </w:rPr>
        <w:t>subject × brain region × diffusion metric</w:t>
      </w:r>
    </w:p>
    <w:p>
      <w:pPr>
        <w:pStyle w:val="BodyText"/>
        <w:rPr/>
      </w:pPr>
      <w:bookmarkStart w:id="4" w:name="regional-brain-measurements"/>
      <w:r>
        <w:rPr/>
        <w:t>This structure makes it possible to ask either region-centered or metric-centered questions. For example, an investigator can examine how NDI varies with blast exposure in a particular brain region or determine which regions show the strongest exposure-related association for a selected diffusion metric.</w:t>
      </w:r>
      <w:bookmarkEnd w:id="4"/>
    </w:p>
    <w:p>
      <w:pPr>
        <w:pStyle w:val="Heading2"/>
        <w:rPr/>
      </w:pPr>
      <w:r>
        <w:rPr/>
        <w:t>Dashboard Implementation</w:t>
      </w:r>
    </w:p>
    <w:p>
      <w:pPr>
        <w:pStyle w:val="FirstParagraph"/>
        <w:rPr/>
      </w:pPr>
      <w:r>
        <w:rPr/>
        <w:t xml:space="preserve">The dashboard was implemented in </w:t>
      </w:r>
      <w:r>
        <w:rPr>
          <w:b/>
          <w:bCs/>
        </w:rPr>
        <w:t>Python using Streamlit</w:t>
      </w:r>
      <w:r>
        <w:rPr/>
        <w:t>. Data management and numerical operations are performed using Python scientific computing libraries including pandas, NumPy, SciPy, statsmodels, and matplotlib.</w:t>
      </w:r>
    </w:p>
    <w:p>
      <w:pPr>
        <w:pStyle w:val="BodyText"/>
        <w:rPr/>
      </w:pPr>
      <w:r>
        <w:rPr/>
        <w:t>For each selected diffusion metric, the dashboard loads the corresponding subject-level regional measurements and merges them with the UNC blast-exposure dataset using subject identifiers. The resulting analysis table contains both the selected regional diffusion measurements and the corresponding exposure information for each participant.</w:t>
      </w:r>
    </w:p>
    <w:p>
      <w:pPr>
        <w:pStyle w:val="BodyText"/>
        <w:rPr/>
      </w:pPr>
      <w:bookmarkStart w:id="5" w:name="dashboard-implementation"/>
      <w:r>
        <w:rPr/>
        <w:t>The dashboard performs analyses interactively so that investigators can change the diffusion metric or brain region without modifying the underlying Python code.</w:t>
      </w:r>
      <w:bookmarkEnd w:id="5"/>
    </w:p>
    <w:p>
      <w:pPr>
        <w:pStyle w:val="Heading2"/>
        <w:rPr/>
      </w:pPr>
      <w:bookmarkStart w:id="6" w:name="interactive-statistical-exploration"/>
      <w:r>
        <w:rPr/>
        <w:t>Interactive Statistical Exploration</w:t>
      </w:r>
    </w:p>
    <w:p>
      <w:pPr>
        <w:pStyle w:val="FirstParagraph"/>
        <w:rPr/>
      </w:pPr>
      <w:r>
        <w:rPr/>
        <w:t>A principal function of the dashboard is to evaluate relationships between blast exposure and regional diffusion measurements.</w:t>
      </w:r>
    </w:p>
    <w:p>
      <w:pPr>
        <w:pStyle w:val="BodyText"/>
        <w:rPr/>
      </w:pPr>
      <w:r>
        <w:rPr/>
        <w:t>Investigators can use the interface to select a diffusion parameter and examine its relationship with exposure across individual brain regions. Statistical summaries and graphical displays provide complementary ways of evaluating these relationships.</w:t>
      </w:r>
    </w:p>
    <w:p>
      <w:pPr>
        <w:pStyle w:val="BodyText"/>
        <w:rPr/>
      </w:pPr>
      <w:r>
        <w:rPr/>
        <w:t>The dashboard can also be used to rank or identify regions showing comparatively strong statistical relationships with the exposure measure. This provides a rapid screening approach for identifying candidate brain regions for subsequent hypothesis-driven analysis.</w:t>
      </w:r>
    </w:p>
    <w:p>
      <w:pPr>
        <w:pStyle w:val="BodyText"/>
        <w:rPr/>
      </w:pPr>
      <w:r>
        <w:rPr/>
        <w:t xml:space="preserve">Because many diffusion metrics and brain regions can be examined, results obtained from this exploratory interface should not automatically be interpreted as independently confirmed effects. Instead, the dashboard is intended primarily as a </w:t>
      </w:r>
      <w:r>
        <w:rPr>
          <w:b/>
          <w:bCs/>
        </w:rPr>
        <w:t>discovery and hypothesis-generation environment</w:t>
      </w:r>
      <w:r>
        <w:rPr/>
        <w:t>. Candidate findings can subsequently be evaluated using formal statistical models, correction for multiple comparisons, covariate adjustment, sensitivity analyses, and independent validation where appropriate.</w:t>
      </w:r>
      <w:bookmarkEnd w:id="6"/>
    </w:p>
    <w:p>
      <w:pPr>
        <w:pStyle w:val="Heading2"/>
        <w:rPr/>
      </w:pPr>
      <w:r>
        <w:rPr/>
        <w:t>Questions That Can Be Explored With the Dashboard</w:t>
      </w:r>
    </w:p>
    <w:p>
      <w:pPr>
        <w:pStyle w:val="FirstParagraph"/>
        <w:rPr/>
      </w:pPr>
      <w:r>
        <w:rPr/>
        <w:t>The interactive design allows investigators to address questions such as:</w:t>
      </w:r>
    </w:p>
    <w:p>
      <w:pPr>
        <w:pStyle w:val="Normal"/>
        <w:numPr>
          <w:ilvl w:val="0"/>
          <w:numId w:val="18"/>
        </w:numPr>
        <w:rPr/>
      </w:pPr>
      <w:r>
        <w:rPr>
          <w:b/>
          <w:bCs/>
        </w:rPr>
        <w:t>Are measures of blast exposure associated with regional NODDI diffusion parameters?</w:t>
      </w:r>
    </w:p>
    <w:p>
      <w:pPr>
        <w:pStyle w:val="Normal"/>
        <w:numPr>
          <w:ilvl w:val="0"/>
          <w:numId w:val="19"/>
        </w:numPr>
        <w:rPr/>
      </w:pPr>
      <w:r>
        <w:rPr>
          <w:b/>
          <w:bCs/>
        </w:rPr>
        <w:t>Which brain regions show the strongest relationship between blast exposure and NDI?</w:t>
      </w:r>
    </w:p>
    <w:p>
      <w:pPr>
        <w:pStyle w:val="Normal"/>
        <w:numPr>
          <w:ilvl w:val="0"/>
          <w:numId w:val="20"/>
        </w:numPr>
        <w:rPr/>
      </w:pPr>
      <w:r>
        <w:rPr>
          <w:b/>
          <w:bCs/>
        </w:rPr>
        <w:t>Are exposure-related effects more prominent for neurite density (NDI) or orientation dispersion (ODI)?</w:t>
      </w:r>
    </w:p>
    <w:p>
      <w:pPr>
        <w:pStyle w:val="Normal"/>
        <w:numPr>
          <w:ilvl w:val="0"/>
          <w:numId w:val="21"/>
        </w:numPr>
        <w:rPr/>
      </w:pPr>
      <w:r>
        <w:rPr>
          <w:b/>
          <w:bCs/>
        </w:rPr>
        <w:t>Do intracellular and extracellular NODDI parameters show different relationships with blast exposure?</w:t>
      </w:r>
    </w:p>
    <w:p>
      <w:pPr>
        <w:pStyle w:val="Normal"/>
        <w:numPr>
          <w:ilvl w:val="0"/>
          <w:numId w:val="22"/>
        </w:numPr>
        <w:rPr/>
      </w:pPr>
      <w:r>
        <w:rPr>
          <w:b/>
          <w:bCs/>
        </w:rPr>
        <w:t>Which anatomical regions consistently show exposure-related effects across several NODDI parameters?</w:t>
      </w:r>
    </w:p>
    <w:p>
      <w:pPr>
        <w:pStyle w:val="Normal"/>
        <w:numPr>
          <w:ilvl w:val="0"/>
          <w:numId w:val="23"/>
        </w:numPr>
        <w:rPr/>
      </w:pPr>
      <w:r>
        <w:rPr>
          <w:b/>
          <w:bCs/>
        </w:rPr>
        <w:t>Are apparent exposure effects concentrated in particular brain systems or distributed across multiple regions?</w:t>
      </w:r>
    </w:p>
    <w:p>
      <w:pPr>
        <w:pStyle w:val="Normal"/>
        <w:numPr>
          <w:ilvl w:val="0"/>
          <w:numId w:val="24"/>
        </w:numPr>
        <w:rPr/>
      </w:pPr>
      <w:r>
        <w:rPr>
          <w:b/>
          <w:bCs/>
        </w:rPr>
        <w:t>Do individual subjects with relatively high blast exposure also show unusually high or low regional diffusion measurements?</w:t>
      </w:r>
    </w:p>
    <w:p>
      <w:pPr>
        <w:pStyle w:val="Normal"/>
        <w:numPr>
          <w:ilvl w:val="0"/>
          <w:numId w:val="25"/>
        </w:numPr>
        <w:rPr/>
      </w:pPr>
      <w:r>
        <w:rPr>
          <w:b/>
          <w:bCs/>
        </w:rPr>
        <w:t>Are particular results driven by a small number of subjects, or is there a gradual relationship across the cohort?</w:t>
      </w:r>
    </w:p>
    <w:p>
      <w:pPr>
        <w:pStyle w:val="Normal"/>
        <w:numPr>
          <w:ilvl w:val="0"/>
          <w:numId w:val="26"/>
        </w:numPr>
        <w:rPr/>
      </w:pPr>
      <w:r>
        <w:rPr>
          <w:b/>
          <w:bCs/>
        </w:rPr>
        <w:t>How do the estimated intracellular, extracellular, and CSF compartment contributions vary in relation to blast exposure?</w:t>
      </w:r>
    </w:p>
    <w:p>
      <w:pPr>
        <w:pStyle w:val="Normal"/>
        <w:numPr>
          <w:ilvl w:val="0"/>
          <w:numId w:val="27"/>
        </w:numPr>
        <w:rPr/>
      </w:pPr>
      <w:r>
        <w:rPr>
          <w:b/>
          <w:bCs/>
        </w:rPr>
        <w:t>Do NODDI model-fit measures such as log likelihood, AIC, AICc, or BIC identify regions or subjects for which model performance should be examined more carefully?</w:t>
      </w:r>
    </w:p>
    <w:p>
      <w:pPr>
        <w:pStyle w:val="Normal"/>
        <w:numPr>
          <w:ilvl w:val="0"/>
          <w:numId w:val="28"/>
        </w:numPr>
        <w:rPr/>
      </w:pPr>
      <w:r>
        <w:rPr>
          <w:b/>
          <w:bCs/>
        </w:rPr>
        <w:t>Which combination of diffusion metric and brain region produces the strongest statistical association with blast exposure?</w:t>
      </w:r>
    </w:p>
    <w:p>
      <w:pPr>
        <w:pStyle w:val="Normal"/>
        <w:numPr>
          <w:ilvl w:val="0"/>
          <w:numId w:val="29"/>
        </w:numPr>
        <w:rPr/>
      </w:pPr>
      <w:bookmarkStart w:id="7" w:name="X2207362fdd69f9d02beeab738f3c1fa47bf1f89"/>
      <w:r>
        <w:rPr>
          <w:b/>
          <w:bCs/>
        </w:rPr>
        <w:t>Do anatomically related regions demonstrate similar patterns of association with blast exposure?</w:t>
      </w:r>
      <w:bookmarkEnd w:id="7"/>
    </w:p>
    <w:p>
      <w:pPr>
        <w:pStyle w:val="Heading2"/>
        <w:rPr/>
      </w:pPr>
      <w:bookmarkStart w:id="8" w:name="intended-use"/>
      <w:r>
        <w:rPr/>
        <w:t>Intended Use</w:t>
      </w:r>
    </w:p>
    <w:p>
      <w:pPr>
        <w:pStyle w:val="FirstParagraph"/>
        <w:rPr/>
      </w:pPr>
      <w:r>
        <w:rPr/>
        <w:t>The UNC NODDI Diffusion MRI Dashboard provides an interactive bridge between diffusion MRI processing and statistical interpretation. It enables researchers who may not routinely program statistical analyses to examine a complex multidimensional imaging dataset through a common graphical interface.</w:t>
      </w:r>
    </w:p>
    <w:p>
      <w:pPr>
        <w:pStyle w:val="BodyText"/>
        <w:spacing w:before="180" w:after="180"/>
        <w:rPr/>
      </w:pPr>
      <w:r>
        <w:rPr/>
        <w:t xml:space="preserve">The dashboard is particularly useful for </w:t>
      </w:r>
      <w:r>
        <w:rPr>
          <w:b/>
          <w:bCs/>
        </w:rPr>
        <w:t>exploratory analysis, quality assessment, hypothesis generation, identification of candidate brain regions, and comparison of NODDI diffusion metrics</w:t>
      </w:r>
      <w:r>
        <w:rPr/>
        <w:t>. Findings identified through the dashboard can then guide more detailed analyses incorporating relevant demographic and clinical covariates, correction for multiple statistical comparisons, and validation in additional datasets.</w:t>
      </w:r>
      <w:bookmarkEnd w:id="0"/>
      <w:bookmarkEnd w:id="8"/>
    </w:p>
    <w:p>
      <w:pPr>
        <w:pStyle w:val="BodyText"/>
        <w:spacing w:before="180" w:after="180"/>
        <w:rPr/>
      </w:pPr>
      <w:r>
        <w:rPr/>
      </w:r>
    </w:p>
    <w:p>
      <w:pPr>
        <w:pStyle w:val="BodyText"/>
        <w:spacing w:before="180" w:after="180"/>
        <w:rPr>
          <w:b/>
          <w:bCs/>
        </w:rPr>
      </w:pPr>
      <w:r>
        <w:rPr>
          <w:b/>
          <w:bCs/>
        </w:rPr>
        <w:t>Methods</w:t>
      </w:r>
    </w:p>
    <w:p>
      <w:pPr>
        <w:pStyle w:val="BodyText"/>
        <w:spacing w:before="180" w:after="180"/>
        <w:rPr/>
      </w:pPr>
      <w:r>
        <w:rPr/>
        <w:t xml:space="preserve">Military Participants. We conducted a single-site, cross-sectional observational study using data collected during the Assessing &amp; Tracking Tactical (ATTAC) Forces Initiative (2020-2023) at the  University of North Carolina at Chapel Hill (UNC Chapel Hill).  </w:t>
      </w:r>
    </w:p>
    <w:p>
      <w:pPr>
        <w:pStyle w:val="BodyText"/>
        <w:spacing w:before="180" w:after="180"/>
        <w:rPr/>
      </w:pPr>
      <w:r>
        <w:rPr/>
        <w:t>Clinical Diffusion Magnetic Resonance Imaging and Analyses.</w:t>
      </w:r>
    </w:p>
    <w:p>
      <w:pPr>
        <w:pStyle w:val="BodyText"/>
        <w:spacing w:before="180" w:after="180"/>
        <w:rPr/>
      </w:pPr>
      <w:r>
        <w:rPr/>
      </w:r>
    </w:p>
    <w:p>
      <w:pPr>
        <w:pStyle w:val="BodyText"/>
        <w:spacing w:before="180" w:after="180"/>
        <w:rPr/>
      </w:pPr>
      <w:r>
        <w:rPr/>
        <w:t xml:space="preserve">Diffusion MRI. Neuroimaging was performed at the UNC Biomedical Research Imaging Center using 3T Biograph mMR and 3T MAGNETOM Prisma scanners (Siemens, Erlangen, Germany). Imaging protocols were harmonized between scanners by a MR physicist.  High-resolution anatomical images were acquired with a three-dimensional T1-weighted magnetization-prepared rapid acquisition gradient-echo (MPRAGE) sequence (inversion time [TI], 900 ms, repetition time [TR], 1900 ms; echo time [TE], 2.26 ms, voxel size 0.5 × 0.5 × 1.0 mm³; field of view 256 mm x 256 mm, slice thickness 1mm, 192 slices).  </w:t>
      </w:r>
      <w:r>
        <w:rPr>
          <w:rFonts w:ascii="Liberation Serif;Liberation Serif_EmbeddedFont;Liberation Serif_MSFontService;sans-serif" w:hAnsi="Liberation Serif;Liberation Serif_EmbeddedFont;Liberation Serif_MSFontService;sans-serif"/>
          <w:b w:val="false"/>
          <w:i w:val="false"/>
          <w:caps w:val="false"/>
          <w:smallCaps w:val="false"/>
          <w:sz w:val="24"/>
          <w:lang w:val="en-US"/>
        </w:rPr>
        <w:t xml:space="preserve"> </w:t>
      </w:r>
      <w:r>
        <w:rPr>
          <w:b w:val="false"/>
          <w:i w:val="false"/>
          <w:caps w:val="false"/>
          <w:smallCaps w:val="false"/>
        </w:rPr>
        <w:t xml:space="preserve"> Diffusion was acquired  on a Siemens 3T scanner localed at UNC Chapel Hill Biomedical Research  </w:t>
      </w:r>
      <w:r>
        <w:rPr/>
        <w:t>Imaging Center with the followingparameters: "SoftwareVersions": "syngo MR E11", "ProtocolName": "ep2d_diff_62dir_b1000_AP",</w:t>
        <w:tab/>
        <w:t>"SliceThickness": 2, "SpacingBetweenSlices": 2,"EchoTime": 0.094,"RepetitionTime": 9.4,"SpoilingState": true,"FlipAngle": 90, "EchoTrainLength": 41, "PhaseEncodingSteps": 83, "AcquisitionMatrixPE": 112, "ParallelReductionFactorInPlane": 2, "ReconMatrixPE": 112, reconstructed matrix size – 128x112x66 with 63 total volumes one which was a non-diffusion volume;   62 diffusion gradient directions, voxel dimensions 2x2x2mm.</w:t>
      </w:r>
    </w:p>
    <w:p>
      <w:pPr>
        <w:pStyle w:val="BodyText"/>
        <w:spacing w:before="180" w:after="180"/>
        <w:rPr/>
      </w:pPr>
      <w:r>
        <w:rPr>
          <w:b w:val="false"/>
          <w:i w:val="false"/>
          <w:caps w:val="false"/>
          <w:smallCaps w:val="false"/>
        </w:rPr>
        <w:t xml:space="preserve"> </w:t>
      </w:r>
    </w:p>
    <w:p>
      <w:pPr>
        <w:pStyle w:val="BodyText"/>
        <w:spacing w:before="180" w:after="180"/>
        <w:rPr/>
      </w:pPr>
      <w:r>
        <w:rPr/>
      </w:r>
    </w:p>
    <w:p>
      <w:pPr>
        <w:pStyle w:val="Normal"/>
        <w:rPr/>
      </w:pPr>
      <w:r>
        <w:rPr/>
        <w:t>Pipeline for diffusion NODDI analysis</w:t>
      </w:r>
    </w:p>
    <w:p>
      <w:pPr>
        <w:pStyle w:val="Normal"/>
        <w:rPr/>
      </w:pPr>
      <w:r>
        <w:rPr>
          <w:rFonts w:ascii="Liberation Serif" w:hAnsi="Liberation Serif"/>
          <w:sz w:val="24"/>
          <w:lang w:val="en-US"/>
        </w:rPr>
        <w:t xml:space="preserve"> </w:t>
      </w:r>
      <w:r>
        <w:rPr>
          <w:rFonts w:ascii="Liberation Serif" w:hAnsi="Liberation Serif"/>
          <w:sz w:val="24"/>
          <w:lang w:val="en-US"/>
        </w:rPr>
        <w:t>Loop through each subject scan folder</w:t>
      </w:r>
    </w:p>
    <w:p>
      <w:pPr>
        <w:pStyle w:val="Normal"/>
        <w:rPr/>
      </w:pPr>
      <w:r>
        <w:rPr/>
        <w:t>1) convert the raw diffusion 4D data file into a .mif which is compatible with mrtrix3</w:t>
      </w:r>
    </w:p>
    <w:p>
      <w:pPr>
        <w:pStyle w:val="Normal"/>
        <w:rPr/>
      </w:pPr>
      <w:r>
        <w:rPr/>
        <w:t>2) preprocess the raw diffusion 4D data file using mrtrix3, denoising, degibb, fslpreproc which produces a file call preproc.mif</w:t>
      </w:r>
    </w:p>
    <w:p>
      <w:pPr>
        <w:pStyle w:val="Normal"/>
        <w:rPr/>
      </w:pPr>
      <w:r>
        <w:rPr/>
        <w:t>3)</w:t>
      </w:r>
      <w:r>
        <w:rPr>
          <w:rFonts w:ascii="Liberation Serif" w:hAnsi="Liberation Serif"/>
          <w:sz w:val="24"/>
          <w:lang w:val="en-US"/>
        </w:rPr>
        <w:t xml:space="preserve"> coregisters the template to individual diffusion space and then transforms the atlas  brain region into individual  diffusion space.</w:t>
      </w:r>
    </w:p>
    <w:p>
      <w:pPr>
        <w:pStyle w:val="Normal"/>
        <w:rPr/>
      </w:pPr>
      <w:r>
        <w:rPr>
          <w:rFonts w:ascii="Liberation Serif" w:hAnsi="Liberation Serif"/>
          <w:sz w:val="24"/>
          <w:lang w:val="en-US"/>
        </w:rPr>
        <w:t xml:space="preserve">4) generate NODDI metric files using python script which uses AMICO -  </w:t>
      </w:r>
      <w:r>
        <w:rPr/>
        <w:t xml:space="preserve">Implementation of the linear framework for Accelerated Microstructure Imaging via Convex Optimization (AMICO) described in </w:t>
      </w:r>
      <w:hyperlink r:id="rId2">
        <w:r>
          <w:rPr>
            <w:rStyle w:val="Hyperlink"/>
          </w:rPr>
          <w:t>(Daducci et al., 2015)</w:t>
        </w:r>
      </w:hyperlink>
      <w:r>
        <w:rPr/>
        <w:t>.  This generates the following files fit_dir.nii.gz  fit_EC_kappa.nii.gz  fit_FWF.nii.gz  fit_NDI.nii.gz  fit_ODI.nii.gz with the following explanation</w:t>
      </w:r>
    </w:p>
    <w:p>
      <w:pPr>
        <w:pStyle w:val="BodyText"/>
        <w:rPr>
          <w:rFonts w:ascii="Liberation Serif" w:hAnsi="Liberation Serif"/>
          <w:sz w:val="24"/>
          <w:lang w:val="en-US"/>
        </w:rPr>
      </w:pPr>
      <w:r>
        <w:rPr>
          <w:rStyle w:val="SourceText"/>
          <w:rFonts w:ascii="Liberation Serif" w:hAnsi="Liberation Serif"/>
          <w:sz w:val="24"/>
          <w:lang w:val="en-US"/>
        </w:rPr>
        <w:t>ndi</w:t>
      </w:r>
      <w:r>
        <w:rPr>
          <w:rFonts w:ascii="Liberation Serif" w:hAnsi="Liberation Serif"/>
          <w:sz w:val="24"/>
          <w:lang w:val="en-US"/>
        </w:rPr>
        <w:t xml:space="preserve"> (or </w:t>
      </w:r>
      <w:r>
        <w:rPr>
          <w:rStyle w:val="SourceText"/>
          <w:rFonts w:ascii="Liberation Serif" w:hAnsi="Liberation Serif"/>
          <w:sz w:val="24"/>
          <w:lang w:val="en-US"/>
        </w:rPr>
        <w:t>FIT_ICVF</w:t>
      </w:r>
      <w:r>
        <w:rPr>
          <w:rFonts w:ascii="Liberation Serif" w:hAnsi="Liberation Serif"/>
          <w:sz w:val="24"/>
          <w:lang w:val="en-US"/>
        </w:rPr>
        <w:t xml:space="preserve">, </w:t>
      </w:r>
      <w:r>
        <w:rPr>
          <w:rStyle w:val="SourceText"/>
          <w:rFonts w:ascii="Liberation Serif" w:hAnsi="Liberation Serif"/>
          <w:sz w:val="24"/>
          <w:lang w:val="en-US"/>
        </w:rPr>
        <w:t>_ficvf</w:t>
      </w:r>
      <w:r>
        <w:rPr>
          <w:rFonts w:ascii="Liberation Serif" w:hAnsi="Liberation Serif"/>
          <w:sz w:val="24"/>
          <w:lang w:val="en-US"/>
        </w:rPr>
        <w:t xml:space="preserve">, </w:t>
      </w:r>
      <w:r>
        <w:rPr>
          <w:rStyle w:val="SourceText"/>
          <w:rFonts w:ascii="Liberation Serif" w:hAnsi="Liberation Serif"/>
          <w:sz w:val="24"/>
          <w:lang w:val="en-US"/>
        </w:rPr>
        <w:t>fic</w:t>
      </w:r>
      <w:r>
        <w:rPr>
          <w:rFonts w:ascii="Liberation Serif" w:hAnsi="Liberation Serif"/>
          <w:sz w:val="24"/>
          <w:lang w:val="en-US"/>
        </w:rPr>
        <w:t xml:space="preserve">): </w:t>
      </w:r>
    </w:p>
    <w:p>
      <w:pPr>
        <w:pStyle w:val="BodyText"/>
        <w:rPr>
          <w:rFonts w:ascii="Liberation Serif" w:hAnsi="Liberation Serif"/>
          <w:sz w:val="24"/>
          <w:lang w:val="en-US"/>
        </w:rPr>
      </w:pPr>
      <w:r>
        <w:rPr>
          <w:rStyle w:val="Strong"/>
          <w:rFonts w:ascii="Liberation Serif" w:hAnsi="Liberation Serif"/>
          <w:sz w:val="24"/>
          <w:lang w:val="en-US"/>
        </w:rPr>
        <w:t xml:space="preserve">            </w:t>
      </w:r>
      <w:r>
        <w:rPr>
          <w:rStyle w:val="Strong"/>
          <w:rFonts w:ascii="Liberation Serif" w:hAnsi="Liberation Serif"/>
          <w:sz w:val="24"/>
          <w:lang w:val="en-US"/>
        </w:rPr>
        <w:t>Neurite Density Index (NDI)</w:t>
      </w:r>
      <w:r>
        <w:rPr>
          <w:rFonts w:ascii="Liberation Serif" w:hAnsi="Liberation Serif"/>
          <w:sz w:val="24"/>
          <w:lang w:val="en-US"/>
        </w:rPr>
        <w:t xml:space="preserve"> / </w:t>
      </w:r>
      <w:r>
        <w:rPr>
          <w:rStyle w:val="Strong"/>
          <w:rFonts w:ascii="Liberation Serif" w:hAnsi="Liberation Serif"/>
          <w:sz w:val="24"/>
          <w:lang w:val="en-US"/>
        </w:rPr>
        <w:t>Intracellular Volume Fraction</w:t>
      </w:r>
      <w:r>
        <w:rPr>
          <w:rFonts w:ascii="Liberation Serif" w:hAnsi="Liberation Serif"/>
          <w:sz w:val="24"/>
          <w:lang w:val="en-US"/>
        </w:rPr>
        <w:t>.</w:t>
      </w:r>
    </w:p>
    <w:p>
      <w:pPr>
        <w:pStyle w:val="BodyText"/>
        <w:numPr>
          <w:ilvl w:val="0"/>
          <w:numId w:val="2"/>
        </w:numPr>
        <w:tabs>
          <w:tab w:val="clear" w:pos="720"/>
          <w:tab w:val="left" w:pos="0" w:leader="none"/>
        </w:tabs>
        <w:bidi w:val="0"/>
        <w:spacing w:before="0" w:after="0"/>
        <w:ind w:hanging="283" w:left="720" w:right="0"/>
        <w:rPr/>
      </w:pPr>
      <w:r>
        <w:rPr>
          <w:rStyle w:val="SourceText"/>
        </w:rPr>
        <w:t>odi</w:t>
      </w:r>
      <w:r>
        <w:rPr/>
        <w:t xml:space="preserve"> (or </w:t>
      </w:r>
      <w:r>
        <w:rPr>
          <w:rStyle w:val="SourceText"/>
        </w:rPr>
        <w:t>FIT_OD</w:t>
      </w:r>
      <w:r>
        <w:rPr/>
        <w:t xml:space="preserve">, </w:t>
      </w:r>
      <w:r>
        <w:rPr>
          <w:rStyle w:val="SourceText"/>
        </w:rPr>
        <w:t>_odi</w:t>
      </w:r>
      <w:r>
        <w:rPr/>
        <w:t xml:space="preserve">): </w:t>
      </w:r>
      <w:r>
        <w:rPr>
          <w:rStyle w:val="Strong"/>
        </w:rPr>
        <w:t>Orientation Dispersion Index (ODI)</w:t>
      </w:r>
      <w:r>
        <w:rPr/>
        <w:t>.</w:t>
      </w:r>
    </w:p>
    <w:p>
      <w:pPr>
        <w:pStyle w:val="BodyText"/>
        <w:numPr>
          <w:ilvl w:val="0"/>
          <w:numId w:val="3"/>
        </w:numPr>
        <w:tabs>
          <w:tab w:val="clear" w:pos="720"/>
          <w:tab w:val="left" w:pos="0" w:leader="none"/>
        </w:tabs>
        <w:bidi w:val="0"/>
        <w:spacing w:before="0" w:after="0"/>
        <w:ind w:hanging="283" w:left="720" w:right="0"/>
        <w:rPr/>
      </w:pPr>
      <w:r>
        <w:rPr>
          <w:rStyle w:val="SourceText"/>
        </w:rPr>
        <w:t>isovf</w:t>
      </w:r>
      <w:r>
        <w:rPr/>
        <w:t xml:space="preserve"> (or </w:t>
      </w:r>
      <w:r>
        <w:rPr>
          <w:rStyle w:val="SourceText"/>
        </w:rPr>
        <w:t>FIT_ISOVF</w:t>
      </w:r>
      <w:r>
        <w:rPr/>
        <w:t xml:space="preserve">, </w:t>
      </w:r>
      <w:r>
        <w:rPr>
          <w:rStyle w:val="SourceText"/>
        </w:rPr>
        <w:t>_fiso</w:t>
      </w:r>
      <w:r>
        <w:rPr/>
        <w:t xml:space="preserve">, </w:t>
      </w:r>
      <w:r>
        <w:rPr>
          <w:rStyle w:val="SourceText"/>
        </w:rPr>
        <w:t>fiso</w:t>
      </w:r>
      <w:r>
        <w:rPr/>
        <w:t xml:space="preserve">): </w:t>
      </w:r>
      <w:r>
        <w:rPr>
          <w:rStyle w:val="Strong"/>
        </w:rPr>
        <w:t>Isotropic Volume Fraction</w:t>
      </w:r>
      <w:r>
        <w:rPr/>
        <w:t xml:space="preserve"> / </w:t>
      </w:r>
      <w:r>
        <w:rPr>
          <w:rStyle w:val="Strong"/>
        </w:rPr>
        <w:t>Free Water Fraction (FWF)</w:t>
      </w:r>
      <w:r>
        <w:rPr/>
        <w:t>.</w:t>
      </w:r>
    </w:p>
    <w:p>
      <w:pPr>
        <w:pStyle w:val="BodyText"/>
        <w:numPr>
          <w:ilvl w:val="0"/>
          <w:numId w:val="4"/>
        </w:numPr>
        <w:tabs>
          <w:tab w:val="clear" w:pos="720"/>
          <w:tab w:val="left" w:pos="0" w:leader="none"/>
        </w:tabs>
        <w:bidi w:val="0"/>
        <w:ind w:hanging="283" w:left="720" w:right="0"/>
        <w:rPr/>
      </w:pPr>
      <w:r>
        <w:rPr>
          <w:rStyle w:val="SourceText"/>
        </w:rPr>
        <w:t>dirs</w:t>
      </w:r>
      <w:r>
        <w:rPr/>
        <w:t xml:space="preserve">: </w:t>
      </w:r>
      <w:r>
        <w:rPr>
          <w:rStyle w:val="Strong"/>
        </w:rPr>
        <w:t>Directions</w:t>
      </w:r>
      <w:r>
        <w:rPr/>
        <w:t xml:space="preserve"> (the primary fiber orientation estimate for each voxel). </w:t>
      </w:r>
    </w:p>
    <w:p>
      <w:pPr>
        <w:pStyle w:val="Normal"/>
        <w:numPr>
          <w:ilvl w:val="0"/>
          <w:numId w:val="4"/>
        </w:numPr>
        <w:tabs>
          <w:tab w:val="clear" w:pos="720"/>
          <w:tab w:val="left" w:pos="0" w:leader="none"/>
        </w:tabs>
        <w:bidi w:val="0"/>
        <w:ind w:hanging="283" w:left="720" w:right="0"/>
        <w:rPr/>
      </w:pPr>
      <w:r>
        <w:rPr>
          <w:rStyle w:val="Strong"/>
        </w:rPr>
        <w:t>EC_kappa</w:t>
      </w:r>
      <w:r>
        <w:rPr/>
        <w:t xml:space="preserve"> refers to the </w:t>
      </w:r>
      <w:r>
        <w:rPr>
          <w:rStyle w:val="Strong"/>
        </w:rPr>
        <w:t>concentration parameter of the Watson distribution</w:t>
      </w:r>
      <w:r>
        <w:rPr/>
        <w:t xml:space="preserve"> used within the NODDI model to describe the orientation dispersion of neurites.</w:t>
      </w:r>
    </w:p>
    <w:p>
      <w:pPr>
        <w:pStyle w:val="Normal"/>
        <w:rPr/>
      </w:pPr>
      <w:r>
        <w:rPr>
          <w:rFonts w:ascii="Liberation Serif" w:hAnsi="Liberation Serif"/>
          <w:sz w:val="24"/>
          <w:lang w:val="en-US"/>
        </w:rPr>
        <w:t>5) A python script is used to extract the mean NODDI metric signal from each brain region in the atlas and generate a CSV file with labeled columns as brain regions and labeled rows as subjectID.</w:t>
      </w:r>
    </w:p>
    <w:p>
      <w:pPr>
        <w:pStyle w:val="Normal"/>
        <w:rPr/>
      </w:pPr>
      <w:r>
        <w:rPr>
          <w:rFonts w:ascii="Liberation Serif" w:hAnsi="Liberation Serif"/>
          <w:sz w:val="24"/>
          <w:lang w:val="en-US"/>
        </w:rPr>
        <w:t>Statistics</w:t>
      </w:r>
    </w:p>
    <w:p>
      <w:pPr>
        <w:pStyle w:val="Normal"/>
        <w:rPr>
          <w:rFonts w:ascii="Liberation Serif" w:hAnsi="Liberation Serif"/>
          <w:sz w:val="24"/>
          <w:lang w:val="en-US"/>
        </w:rPr>
      </w:pPr>
      <w:r>
        <w:rPr>
          <w:rFonts w:ascii="Liberation Serif" w:hAnsi="Liberation Serif"/>
          <w:sz w:val="24"/>
          <w:lang w:val="en-US"/>
        </w:rPr>
        <w:t>6) once all subjects are finished with steps 1 to 5 then a python script is run to calculate the age-corrected correlation (called a partial correlation to produce a pvalue probability value and an R correlation coefficient) between clinical score or psychological score  and NODDI metric score for each brain region.</w:t>
      </w:r>
    </w:p>
    <w:p>
      <w:pPr>
        <w:pStyle w:val="Normal"/>
        <w:spacing w:before="0" w:after="200"/>
        <w:rPr>
          <w:rFonts w:ascii="Liberation Serif" w:hAnsi="Liberation Serif"/>
          <w:sz w:val="24"/>
          <w:lang w:val="en-US"/>
        </w:rPr>
      </w:pPr>
      <w:r>
        <w:rPr>
          <w:rFonts w:ascii="Liberation Serif" w:hAnsi="Liberation Serif"/>
          <w:sz w:val="24"/>
          <w:lang w:val="en-US"/>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5"/>
    <w:lvlOverride w:ilvl="0">
      <w:startOverride w:val="1"/>
    </w:lvlOverride>
  </w:num>
  <w:num w:numId="19">
    <w:abstractNumId w:val="5"/>
  </w:num>
  <w:num w:numId="20">
    <w:abstractNumId w:val="5"/>
  </w:num>
  <w:num w:numId="21">
    <w:abstractNumId w:val="5"/>
  </w:num>
  <w:num w:numId="22">
    <w:abstractNumId w:val="5"/>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16/j.neuroimage.2014.10.026"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LibreOffice/24.2.7.2$Linux_X86_64 LibreOffice_project/420$Build-2</Application>
  <AppVersion>15.0000</AppVersion>
  <Pages>7</Pages>
  <Words>1621</Words>
  <Characters>10686</Characters>
  <CharactersWithSpaces>12254</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
  <dc:description/>
  <dc:language>en-US</dc:language>
  <cp:lastModifiedBy/>
  <dcterms:modified xsi:type="dcterms:W3CDTF">2026-08-22T12:57:17Z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