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0"/>
        <w:jc w:val="center"/>
      </w:pPr>
      <w:r>
        <w:rPr>
          <w:color w:val="808080"/>
          <w:sz w:val="22"/>
        </w:rPr>
        <w:t>[Company Logo]</w:t>
        <w:br/>
        <w:br/>
      </w:r>
      <w:r>
        <w:rPr>
          <w:rFonts w:ascii="Calibri" w:hAnsi="Calibri"/>
          <w:b/>
          <w:color w:val="003399"/>
          <w:sz w:val="56"/>
        </w:rPr>
        <w:t>Medtronic SPM Solution Design Document</w:t>
      </w:r>
      <w:r>
        <w:br/>
        <w:br/>
      </w:r>
      <w:r>
        <w:rPr>
          <w:rFonts w:ascii="Calibri" w:hAnsi="Calibri"/>
          <w:b/>
          <w:color w:val="003399"/>
          <w:sz w:val="40"/>
        </w:rPr>
        <w:t>Territory and Quota Management (TQM) &amp; Incentive Compensation Management (ICM) Delivery</w:t>
      </w:r>
      <w:r>
        <w:br/>
        <w:br/>
        <w:br/>
      </w:r>
      <w:r>
        <w:rPr>
          <w:rFonts w:ascii="Calibri" w:hAnsi="Calibri"/>
          <w:sz w:val="24"/>
        </w:rPr>
        <w:t>March 28, 2025</w:t>
        <w:br/>
        <w:br/>
        <w:t>Your Name</w:t>
      </w:r>
      <w:r>
        <w:br/>
        <w:br/>
        <w:br/>
      </w:r>
      <w:r>
        <w:rPr>
          <w:rFonts w:ascii="Calibri" w:hAnsi="Calibri"/>
          <w:b/>
          <w:color w:val="C00000"/>
          <w:sz w:val="24"/>
        </w:rPr>
        <w:t>CONFIDENTIAL</w:t>
      </w:r>
    </w:p>
    <w:p>
      <w:r>
        <w:br w:type="page"/>
      </w:r>
    </w:p>
    <w:p>
      <w:r>
        <w:rPr>
          <w:rFonts w:ascii="Calibri" w:hAnsi="Calibri"/>
          <w:b/>
          <w:color w:val="003399"/>
          <w:sz w:val="32"/>
        </w:rPr>
        <w:t>Table of Contents</w:t>
      </w:r>
    </w:p>
    <w:p>
      <w:r>
        <w:fldChar w:fldCharType="begin"/>
        <w:instrText xml:space="preserve">TOC \o "1-3" \h \z \u</w:instrText>
        <w:fldChar w:fldCharType="separate"/>
        <w:fldChar w:fldCharType="end"/>
      </w:r>
    </w:p>
    <w:p>
      <w:r>
        <w:br w:type="page"/>
      </w:r>
    </w:p>
    <w:p>
      <w:pPr>
        <w:pStyle w:val="Heading1"/>
        <w:spacing w:before="480" w:after="120"/>
      </w:pPr>
      <w:r>
        <w:rPr>
          <w:rFonts w:ascii="Calibri" w:hAnsi="Calibri"/>
          <w:b/>
          <w:color w:val="003399"/>
          <w:sz w:val="36"/>
        </w:rPr>
        <w:t>Medtronic SPM Solution Design Document</w:t>
      </w:r>
    </w:p>
    <w:p>
      <w:pPr>
        <w:pStyle w:val="Heading2"/>
        <w:spacing w:before="360" w:after="120"/>
      </w:pPr>
      <w:r>
        <w:rPr>
          <w:rFonts w:ascii="Calibri" w:hAnsi="Calibri"/>
          <w:b/>
          <w:color w:val="003399"/>
          <w:sz w:val="32"/>
        </w:rPr>
        <w:t>Territory and Quota Management (TQM) &amp; Incentive Compensation Management (ICM) Delivery</w:t>
      </w:r>
    </w:p>
    <w:p>
      <w:r>
        <w:rPr>
          <w:rFonts w:ascii="Calibri" w:hAnsi="Calibri"/>
          <w:b/>
          <w:sz w:val="22"/>
        </w:rPr>
        <w:t>Document Version:</w:t>
      </w:r>
      <w:r>
        <w:rPr>
          <w:rFonts w:ascii="Calibri" w:hAnsi="Calibri"/>
          <w:sz w:val="22"/>
        </w:rPr>
        <w:t xml:space="preserve"> 1.0</w:t>
      </w:r>
      <w:r>
        <w:rPr>
          <w:rFonts w:ascii="Calibri" w:hAnsi="Calibri"/>
          <w:sz w:val="22"/>
        </w:rPr>
        <w:t>&lt;br/&gt;</w:t>
      </w:r>
      <w:r>
        <w:rPr>
          <w:rFonts w:ascii="Calibri" w:hAnsi="Calibri"/>
          <w:sz w:val="22"/>
        </w:rPr>
        <w:br/>
      </w:r>
      <w:r>
        <w:rPr>
          <w:rFonts w:ascii="Calibri" w:hAnsi="Calibri"/>
          <w:b/>
          <w:sz w:val="22"/>
        </w:rPr>
        <w:t>Date:</w:t>
      </w:r>
      <w:r>
        <w:rPr>
          <w:rFonts w:ascii="Calibri" w:hAnsi="Calibri"/>
          <w:sz w:val="22"/>
        </w:rPr>
        <w:t xml:space="preserve"> March 28, 2025</w:t>
      </w:r>
      <w:r>
        <w:rPr>
          <w:rFonts w:ascii="Calibri" w:hAnsi="Calibri"/>
          <w:sz w:val="22"/>
        </w:rPr>
        <w:t>&lt;br/&gt;</w:t>
      </w:r>
      <w:r>
        <w:rPr>
          <w:rFonts w:ascii="Calibri" w:hAnsi="Calibri"/>
          <w:sz w:val="22"/>
        </w:rPr>
        <w:br/>
      </w:r>
      <w:r>
        <w:rPr>
          <w:rFonts w:ascii="Calibri" w:hAnsi="Calibri"/>
          <w:b/>
          <w:sz w:val="22"/>
        </w:rPr>
        <w:t>Status:</w:t>
      </w:r>
      <w:r>
        <w:rPr>
          <w:rFonts w:ascii="Calibri" w:hAnsi="Calibri"/>
          <w:sz w:val="22"/>
        </w:rPr>
        <w:t xml:space="preserve"> Draft</w:t>
      </w:r>
      <w:r>
        <w:rPr>
          <w:rFonts w:ascii="Calibri" w:hAnsi="Calibri"/>
          <w:sz w:val="22"/>
        </w:rPr>
        <w:t>&lt;br/&gt;</w:t>
      </w:r>
      <w:r>
        <w:rPr>
          <w:rFonts w:ascii="Calibri" w:hAnsi="Calibri"/>
          <w:sz w:val="22"/>
        </w:rPr>
        <w:br/>
      </w:r>
      <w:r>
        <w:rPr>
          <w:rFonts w:ascii="Calibri" w:hAnsi="Calibri"/>
          <w:b/>
          <w:sz w:val="22"/>
        </w:rPr>
        <w:t>Author:</w:t>
      </w:r>
      <w:r>
        <w:rPr>
          <w:rFonts w:ascii="Calibri" w:hAnsi="Calibri"/>
          <w:sz w:val="22"/>
        </w:rPr>
        <w:t xml:space="preserve"> [Your Name]</w:t>
      </w:r>
      <w:r>
        <w:rPr>
          <w:rFonts w:ascii="Calibri" w:hAnsi="Calibri"/>
          <w:sz w:val="22"/>
        </w:rPr>
        <w:t>&lt;br/&gt;</w:t>
      </w:r>
      <w:r>
        <w:rPr>
          <w:rFonts w:ascii="Calibri" w:hAnsi="Calibri"/>
          <w:sz w:val="22"/>
        </w:rPr>
        <w:br/>
      </w:r>
      <w:r>
        <w:rPr>
          <w:rFonts w:ascii="Calibri" w:hAnsi="Calibri"/>
          <w:b/>
          <w:sz w:val="22"/>
        </w:rPr>
        <w:t>Approvers:</w:t>
      </w:r>
      <w:r>
        <w:rPr>
          <w:rFonts w:ascii="Calibri" w:hAnsi="Calibri"/>
          <w:sz w:val="22"/>
        </w:rPr>
        <w:t xml:space="preserve"> [Key Stakeholders]</w:t>
      </w:r>
    </w:p>
    <w:p>
      <w:r>
        <w:t>________________________________________________________________________________</w:t>
      </w:r>
    </w:p>
    <w:p>
      <w:pPr>
        <w:pStyle w:val="Heading2"/>
        <w:spacing w:before="360" w:after="120"/>
      </w:pPr>
      <w:r>
        <w:rPr>
          <w:rFonts w:ascii="Calibri" w:hAnsi="Calibri"/>
          <w:b/>
          <w:color w:val="003399"/>
          <w:sz w:val="32"/>
        </w:rPr>
        <w:t>1. Executive Summary</w:t>
      </w:r>
    </w:p>
    <w:p>
      <w:r>
        <w:rPr>
          <w:rFonts w:ascii="Calibri" w:hAnsi="Calibri"/>
          <w:sz w:val="22"/>
        </w:rPr>
        <w:t>This document provides the detailed solution design for implementing an integrated Sales Performance Management (SPM) platform across Medtronic's global operations, encompassing both Territory and Quota Management (TQM) and Incentive Compensation Management (ICM). The solution addresses the current fragmented landscape of territory management and sales compensation systems to create a unified, global approach to sales performance management.</w:t>
      </w:r>
    </w:p>
    <w:p>
      <w:r>
        <w:rPr>
          <w:rFonts w:ascii="Calibri" w:hAnsi="Calibri"/>
          <w:b/>
          <w:sz w:val="22"/>
        </w:rPr>
        <w:t>Strategic Objectives:</w:t>
      </w:r>
      <w:r>
        <w:rPr>
          <w:rFonts w:ascii="Calibri" w:hAnsi="Calibri"/>
          <w:sz w:val="22"/>
        </w:rPr>
        <w:br/>
        <w:t>- Create a single source of truth for territory definitions, quota management, and sales compensation globally</w:t>
        <w:br/>
        <w:t>- Replace ad-hoc territory management and compensation processes with standardized workflows and governance</w:t>
        <w:br/>
        <w:t>- Enable dynamic territory adjustments and compensation plan changes with robust approval processes</w:t>
        <w:br/>
        <w:t>- Support parallel sales team alignment and crediting with accurate commission calculations</w:t>
        <w:br/>
        <w:t>- Drive sales performance through transparent incentives aligned with corporate objectives</w:t>
        <w:br/>
        <w:t>- Ensure data security with role-based access control</w:t>
        <w:br/>
        <w:t>- Provide a scalable platform that supports 23,550+ users across all regions and business units</w:t>
        <w:br/>
        <w:t>- Reduce operational costs through system consolidation and process automation</w:t>
      </w:r>
    </w:p>
    <w:p>
      <w:r>
        <w:t>________________________________________________________________________________</w:t>
      </w:r>
    </w:p>
    <w:p>
      <w:pPr>
        <w:pStyle w:val="Heading2"/>
        <w:spacing w:before="360" w:after="120"/>
      </w:pPr>
      <w:r>
        <w:rPr>
          <w:rFonts w:ascii="Calibri" w:hAnsi="Calibri"/>
          <w:b/>
          <w:color w:val="003399"/>
          <w:sz w:val="32"/>
        </w:rPr>
        <w:t>2. Current State Overview</w:t>
      </w:r>
    </w:p>
    <w:p>
      <w:r>
        <w:rPr>
          <w:rFonts w:ascii="Calibri" w:hAnsi="Calibri"/>
          <w:sz w:val="22"/>
        </w:rPr>
        <w:t>Medtronic currently lacks a robust Territory Management System, resulting in several challenges:</w:t>
      </w:r>
    </w:p>
    <w:p>
      <w:pPr>
        <w:pStyle w:val="ListBullet"/>
        <w:ind w:left="360" w:firstLine="0"/>
      </w:pPr>
      <w:r>
        <w:rPr>
          <w:rFonts w:ascii="Calibri" w:hAnsi="Calibri"/>
          <w:sz w:val="22"/>
        </w:rPr>
        <w:t>No single source of truth across all businesses for territories and quotas</w:t>
      </w:r>
    </w:p>
    <w:p>
      <w:pPr>
        <w:pStyle w:val="ListBullet"/>
        <w:ind w:left="360" w:firstLine="0"/>
      </w:pPr>
      <w:r>
        <w:rPr>
          <w:rFonts w:ascii="Calibri" w:hAnsi="Calibri"/>
          <w:sz w:val="22"/>
        </w:rPr>
        <w:t>Multiple custom Global Sales Reporting (GSR) applications to compensate for limited territory functionality</w:t>
      </w:r>
    </w:p>
    <w:p>
      <w:pPr>
        <w:pStyle w:val="ListBullet"/>
        <w:ind w:left="360" w:firstLine="0"/>
      </w:pPr>
      <w:r>
        <w:rPr>
          <w:rFonts w:ascii="Calibri" w:hAnsi="Calibri"/>
          <w:sz w:val="22"/>
        </w:rPr>
        <w:t>Complex data landscape with 25+ integrations across 6 different datasets</w:t>
      </w:r>
    </w:p>
    <w:p>
      <w:pPr>
        <w:pStyle w:val="ListBullet"/>
        <w:ind w:left="360" w:firstLine="0"/>
      </w:pPr>
      <w:r>
        <w:rPr>
          <w:rFonts w:ascii="Calibri" w:hAnsi="Calibri"/>
          <w:sz w:val="22"/>
        </w:rPr>
        <w:t>Difficulty standardizing operations, reporting, and analytics</w:t>
      </w:r>
    </w:p>
    <w:p>
      <w:pPr>
        <w:pStyle w:val="ListBullet"/>
        <w:ind w:left="360" w:firstLine="0"/>
      </w:pPr>
      <w:r>
        <w:rPr>
          <w:rFonts w:ascii="Calibri" w:hAnsi="Calibri"/>
          <w:sz w:val="22"/>
        </w:rPr>
        <w:t>High platform management costs across multiple systems</w:t>
      </w:r>
    </w:p>
    <w:p>
      <w:pPr>
        <w:pStyle w:val="Heading3"/>
        <w:spacing w:before="240" w:after="120"/>
      </w:pPr>
      <w:r>
        <w:rPr>
          <w:rFonts w:ascii="Calibri" w:hAnsi="Calibri"/>
          <w:b/>
          <w:color w:val="003399"/>
          <w:sz w:val="28"/>
        </w:rPr>
        <w:t>2.1 Existing GSR Applications and Compensation Systems</w:t>
      </w:r>
    </w:p>
    <w:p>
      <w:r>
        <w:rPr>
          <w:rFonts w:ascii="Calibri" w:hAnsi="Calibri"/>
          <w:sz w:val="22"/>
        </w:rPr>
        <w:t>The following applications currently support territory management and sales compensation:</w:t>
      </w:r>
    </w:p>
    <w:p>
      <w:pPr>
        <w:pStyle w:val="ListNumber"/>
        <w:ind w:left="360" w:firstLine="0"/>
      </w:pPr>
      <w:r>
        <w:rPr>
          <w:rFonts w:ascii="Calibri" w:hAnsi="Calibri"/>
          <w:sz w:val="22"/>
        </w:rPr>
        <w:t>Parallel Sales Team Apps:</w:t>
      </w:r>
    </w:p>
    <w:p>
      <w:pPr>
        <w:pStyle w:val="ListNumber"/>
        <w:ind w:left="360" w:firstLine="0"/>
      </w:pPr>
      <w:r>
        <w:rPr>
          <w:rFonts w:ascii="Calibri" w:hAnsi="Calibri"/>
          <w:sz w:val="22"/>
        </w:rPr>
        <w:t>US CV Strategic Sales Team App</w:t>
      </w:r>
    </w:p>
    <w:p>
      <w:pPr>
        <w:pStyle w:val="ListNumber"/>
        <w:ind w:left="360" w:firstLine="0"/>
      </w:pPr>
      <w:r>
        <w:rPr>
          <w:rFonts w:ascii="Calibri" w:hAnsi="Calibri"/>
          <w:sz w:val="22"/>
        </w:rPr>
        <w:t>US CV Co-Sell App</w:t>
      </w:r>
    </w:p>
    <w:p>
      <w:pPr>
        <w:pStyle w:val="ListNumber"/>
        <w:ind w:left="360" w:firstLine="0"/>
      </w:pPr>
      <w:r>
        <w:rPr>
          <w:rFonts w:ascii="Calibri" w:hAnsi="Calibri"/>
          <w:sz w:val="22"/>
        </w:rPr>
        <w:br/>
        <w:t>OUS Parallel Sales Team App</w:t>
        <w:br/>
      </w:r>
    </w:p>
    <w:p>
      <w:r>
        <w:rPr>
          <w:rFonts w:ascii="Calibri" w:hAnsi="Calibri"/>
          <w:sz w:val="22"/>
        </w:rPr>
        <w:t>OUS Parallel Sales Team App</w:t>
      </w:r>
    </w:p>
    <w:p>
      <w:r>
        <w:rPr>
          <w:rFonts w:ascii="Calibri" w:hAnsi="Calibri"/>
          <w:b/>
          <w:sz w:val="22"/>
        </w:rPr>
        <w:t>Territory Alignment Apps:</w:t>
      </w:r>
    </w:p>
    <w:p>
      <w:r>
        <w:rPr>
          <w:rFonts w:ascii="Calibri" w:hAnsi="Calibri"/>
          <w:sz w:val="22"/>
        </w:rPr>
        <w:t>Implanter Reassignment App (for US CV and NS Implant Territory Realignment)</w:t>
      </w:r>
    </w:p>
    <w:p>
      <w:r>
        <w:rPr>
          <w:rFonts w:ascii="Calibri" w:hAnsi="Calibri"/>
          <w:b/>
          <w:sz w:val="22"/>
        </w:rPr>
        <w:t>Security Management:</w:t>
      </w:r>
    </w:p>
    <w:p>
      <w:r>
        <w:rPr>
          <w:rFonts w:ascii="Calibri" w:hAnsi="Calibri"/>
          <w:sz w:val="22"/>
        </w:rPr>
        <w:t>Exception Security App (for user access to sales and inventory data)</w:t>
      </w:r>
    </w:p>
    <w:p>
      <w:r>
        <w:rPr>
          <w:rFonts w:ascii="Calibri" w:hAnsi="Calibri"/>
          <w:b/>
          <w:sz w:val="22"/>
        </w:rPr>
        <w:t>Adjustment Management:</w:t>
      </w:r>
    </w:p>
    <w:p>
      <w:r>
        <w:rPr>
          <w:rFonts w:ascii="Calibri" w:hAnsi="Calibri"/>
          <w:sz w:val="22"/>
        </w:rPr>
        <w:t>Manual Sales Adjustment App</w:t>
      </w:r>
    </w:p>
    <w:p>
      <w:r>
        <w:rPr>
          <w:rFonts w:ascii="Calibri" w:hAnsi="Calibri"/>
          <w:b/>
          <w:sz w:val="22"/>
        </w:rPr>
        <w:t>Compensation Systems:</w:t>
      </w:r>
    </w:p>
    <w:p>
      <w:pPr>
        <w:pStyle w:val="Heading3"/>
        <w:spacing w:before="240" w:after="120"/>
      </w:pPr>
      <w:r>
        <w:rPr>
          <w:rFonts w:ascii="Calibri" w:hAnsi="Calibri"/>
          <w:b/>
          <w:color w:val="003399"/>
          <w:sz w:val="28"/>
        </w:rPr>
        <w:t>2.2 Current User Landscape</w:t>
      </w:r>
    </w:p>
    <w:p>
      <w:r>
        <w:rPr>
          <w:rFonts w:ascii="Calibri" w:hAnsi="Calibri"/>
          <w:sz w:val="22"/>
        </w:rPr>
        <w:t>Total user count: 23,550, distributed across:</w:t>
        <w:br/>
        <w:t>- COMPASS: 1,200</w:t>
        <w:br/>
        <w:t>- SAP CALLIDUS: 7,500</w:t>
        <w:br/>
        <w:t>- SIP 2.0: 12,650</w:t>
        <w:br/>
        <w:t>- VARICENT: 2,200</w:t>
      </w:r>
    </w:p>
    <w:p>
      <w:r>
        <w:rPr>
          <w:rFonts w:ascii="Calibri" w:hAnsi="Calibri"/>
          <w:sz w:val="22"/>
        </w:rPr>
        <w:t>User distribution by region:</w:t>
        <w:br/>
        <w:t>- US: ~9,400</w:t>
        <w:br/>
        <w:t>- Europe: ~4,200</w:t>
        <w:br/>
        <w:t>- Japan: ~1,650</w:t>
        <w:br/>
        <w:t>- ANZ: ~700</w:t>
        <w:br/>
        <w:t>- China: ~3,000</w:t>
        <w:br/>
        <w:t>- Other regions: ~4,600</w:t>
      </w:r>
    </w:p>
    <w:p>
      <w:r>
        <w:t>________________________________________________________________________________</w:t>
      </w:r>
    </w:p>
    <w:p>
      <w:pPr>
        <w:pStyle w:val="Heading2"/>
        <w:spacing w:before="360" w:after="120"/>
      </w:pPr>
      <w:r>
        <w:rPr>
          <w:rFonts w:ascii="Calibri" w:hAnsi="Calibri"/>
          <w:b/>
          <w:color w:val="003399"/>
          <w:sz w:val="32"/>
        </w:rPr>
        <w:t>3. Target Solution Architecture</w:t>
      </w:r>
    </w:p>
    <w:p>
      <w:pPr>
        <w:pStyle w:val="Heading3"/>
        <w:spacing w:before="240" w:after="120"/>
      </w:pPr>
      <w:r>
        <w:rPr>
          <w:rFonts w:ascii="Calibri" w:hAnsi="Calibri"/>
          <w:b/>
          <w:color w:val="003399"/>
          <w:sz w:val="28"/>
        </w:rPr>
        <w:t>3.1 System Landscape</w:t>
      </w:r>
    </w:p>
    <w:p>
      <w:r>
        <w:rPr>
          <w:rFonts w:ascii="Calibri" w:hAnsi="Calibri"/>
          <w:sz w:val="22"/>
        </w:rPr>
        <w:t>The TQM solution will be implemented as a cloud-native application, integrating with the following systems:</w:t>
      </w:r>
    </w:p>
    <w:p>
      <w:pPr>
        <w:ind w:left="720" w:right="720"/>
      </w:pPr>
      <w:r>
        <w:rPr>
          <w:rFonts w:ascii="Courier New" w:hAnsi="Courier New"/>
          <w:sz w:val="18"/>
        </w:rPr>
        <w:t>┌───────────────────┐     ┌───────────────────┐     ┌───────────────────┐</w:t>
        <w:br/>
        <w:t>│                   │     │                   │     │                   │</w:t>
        <w:br/>
        <w:t>│    Source Systems │────▶│   SPM Platform    │────▶│  Target Systems   │</w:t>
        <w:br/>
        <w:t>│    (SAP, DTRAK)   │     │   (TQM + ICM)     │     │                   │</w:t>
        <w:br/>
        <w:t>│                   │     │                   │     │                   │</w:t>
        <w:br/>
        <w:t>└───────────────────┘     └───────────────────┘     └───────────────────┘</w:t>
        <w:br/>
        <w:t xml:space="preserve">         ▲                        │                         ▲</w:t>
        <w:br/>
        <w:t xml:space="preserve">         │                        ▼                         │</w:t>
        <w:br/>
        <w:t xml:space="preserve">         │                ┌───────────────────┐            │</w:t>
        <w:br/>
        <w:t xml:space="preserve">         │                │                   │            │</w:t>
        <w:br/>
        <w:t xml:space="preserve">         └────────────────│  Data Platform    │────────────┘</w:t>
        <w:br/>
        <w:t xml:space="preserve">                          │  (Snowflake)      │</w:t>
        <w:br/>
        <w:t xml:space="preserve">                          └───────────────────┘</w:t>
        <w:br/>
      </w:r>
    </w:p>
    <w:p>
      <w:pPr>
        <w:pStyle w:val="Heading3"/>
        <w:spacing w:before="240" w:after="120"/>
      </w:pPr>
      <w:r>
        <w:rPr>
          <w:rFonts w:ascii="Calibri" w:hAnsi="Calibri"/>
          <w:b/>
          <w:color w:val="003399"/>
          <w:sz w:val="28"/>
        </w:rPr>
        <w:t>3.2 Component Architecture</w:t>
      </w:r>
    </w:p>
    <w:p>
      <w:r>
        <w:rPr>
          <w:rFonts w:ascii="Calibri" w:hAnsi="Calibri"/>
          <w:sz w:val="22"/>
        </w:rPr>
        <w:t>The SPM platform consists of the following core components:</w:t>
      </w:r>
    </w:p>
    <w:p>
      <w:pPr>
        <w:pStyle w:val="ListNumber"/>
        <w:ind w:left="360" w:firstLine="0"/>
      </w:pPr>
      <w:r>
        <w:rPr>
          <w:rFonts w:ascii="Calibri" w:hAnsi="Calibri"/>
          <w:sz w:val="22"/>
        </w:rPr>
        <w:t>Territory Structure Management</w:t>
      </w:r>
    </w:p>
    <w:p>
      <w:pPr>
        <w:pStyle w:val="ListNumber"/>
        <w:ind w:left="360" w:firstLine="0"/>
      </w:pPr>
      <w:r>
        <w:rPr>
          <w:rFonts w:ascii="Calibri" w:hAnsi="Calibri"/>
          <w:sz w:val="22"/>
        </w:rPr>
        <w:t>Global, regional, and business unit hierarchies</w:t>
      </w:r>
    </w:p>
    <w:p>
      <w:pPr>
        <w:pStyle w:val="ListNumber"/>
        <w:ind w:left="360" w:firstLine="0"/>
      </w:pPr>
      <w:r>
        <w:rPr>
          <w:rFonts w:ascii="Calibri" w:hAnsi="Calibri"/>
          <w:sz w:val="22"/>
        </w:rPr>
        <w:t>Territory definitions and attributes</w:t>
      </w:r>
    </w:p>
    <w:p>
      <w:pPr>
        <w:pStyle w:val="ListNumber"/>
        <w:ind w:left="360" w:firstLine="0"/>
      </w:pPr>
      <w:r>
        <w:rPr>
          <w:rFonts w:ascii="Calibri" w:hAnsi="Calibri"/>
          <w:sz w:val="22"/>
        </w:rPr>
        <w:br/>
        <w:t>Customer-to-territory mapping</w:t>
        <w:br/>
      </w:r>
    </w:p>
    <w:p>
      <w:r>
        <w:rPr>
          <w:rFonts w:ascii="Calibri" w:hAnsi="Calibri"/>
          <w:sz w:val="22"/>
        </w:rPr>
        <w:t>Customer-to-territory mapping</w:t>
      </w:r>
    </w:p>
    <w:p>
      <w:r>
        <w:rPr>
          <w:rFonts w:ascii="Calibri" w:hAnsi="Calibri"/>
          <w:b/>
          <w:sz w:val="22"/>
        </w:rPr>
        <w:t>Quota Management</w:t>
      </w:r>
    </w:p>
    <w:p>
      <w:r>
        <w:rPr>
          <w:rFonts w:ascii="Calibri" w:hAnsi="Calibri"/>
          <w:sz w:val="22"/>
        </w:rPr>
        <w:t>Quota adjustments and tracking</w:t>
      </w:r>
    </w:p>
    <w:p>
      <w:r>
        <w:rPr>
          <w:rFonts w:ascii="Calibri" w:hAnsi="Calibri"/>
          <w:b/>
          <w:sz w:val="22"/>
        </w:rPr>
        <w:t>Parallel Team Management</w:t>
      </w:r>
    </w:p>
    <w:p>
      <w:r>
        <w:rPr>
          <w:rFonts w:ascii="Calibri" w:hAnsi="Calibri"/>
          <w:sz w:val="22"/>
        </w:rPr>
        <w:t>Credit assignment rules</w:t>
      </w:r>
    </w:p>
    <w:p>
      <w:r>
        <w:rPr>
          <w:rFonts w:ascii="Calibri" w:hAnsi="Calibri"/>
          <w:b/>
          <w:sz w:val="22"/>
        </w:rPr>
        <w:t>Incentive Compensation Management</w:t>
      </w:r>
    </w:p>
    <w:p>
      <w:r>
        <w:rPr>
          <w:rFonts w:ascii="Calibri" w:hAnsi="Calibri"/>
          <w:sz w:val="22"/>
        </w:rPr>
        <w:t>Statement generation</w:t>
      </w:r>
    </w:p>
    <w:p>
      <w:r>
        <w:rPr>
          <w:rFonts w:ascii="Calibri" w:hAnsi="Calibri"/>
          <w:b/>
          <w:sz w:val="22"/>
        </w:rPr>
        <w:t>Data Integration Layer</w:t>
      </w:r>
    </w:p>
    <w:p>
      <w:r>
        <w:rPr>
          <w:rFonts w:ascii="Calibri" w:hAnsi="Calibri"/>
          <w:sz w:val="22"/>
        </w:rPr>
        <w:t>Historical data management</w:t>
      </w:r>
    </w:p>
    <w:p>
      <w:r>
        <w:rPr>
          <w:rFonts w:ascii="Calibri" w:hAnsi="Calibri"/>
          <w:b/>
          <w:sz w:val="22"/>
        </w:rPr>
        <w:t>Security and Access Control</w:t>
      </w:r>
    </w:p>
    <w:p>
      <w:r>
        <w:rPr>
          <w:rFonts w:ascii="Calibri" w:hAnsi="Calibri"/>
          <w:sz w:val="22"/>
        </w:rPr>
        <w:t>Audit logging and compliance controls</w:t>
      </w:r>
    </w:p>
    <w:p>
      <w:r>
        <w:rPr>
          <w:rFonts w:ascii="Calibri" w:hAnsi="Calibri"/>
          <w:b/>
          <w:sz w:val="22"/>
        </w:rPr>
        <w:t>Analytics and Reporting</w:t>
      </w:r>
    </w:p>
    <w:p>
      <w:r>
        <w:rPr>
          <w:rFonts w:ascii="Calibri" w:hAnsi="Calibri"/>
          <w:sz w:val="22"/>
        </w:rPr>
        <w:t>Quota attainment tracking</w:t>
      </w:r>
    </w:p>
    <w:p>
      <w:r>
        <w:rPr>
          <w:rFonts w:ascii="Calibri" w:hAnsi="Calibri"/>
          <w:b/>
          <w:sz w:val="22"/>
        </w:rPr>
        <w:t>User Experience Layer</w:t>
      </w:r>
    </w:p>
    <w:p>
      <w:r>
        <w:t>________________________________________________________________________________</w:t>
      </w:r>
    </w:p>
    <w:p>
      <w:pPr>
        <w:pStyle w:val="Heading2"/>
        <w:spacing w:before="360" w:after="120"/>
      </w:pPr>
      <w:r>
        <w:rPr>
          <w:rFonts w:ascii="Calibri" w:hAnsi="Calibri"/>
          <w:b/>
          <w:color w:val="003399"/>
          <w:sz w:val="32"/>
        </w:rPr>
        <w:t>4. Detailed Technical Design</w:t>
      </w:r>
    </w:p>
    <w:p>
      <w:pPr>
        <w:pStyle w:val="Heading3"/>
        <w:spacing w:before="240" w:after="120"/>
      </w:pPr>
      <w:r>
        <w:rPr>
          <w:rFonts w:ascii="Calibri" w:hAnsi="Calibri"/>
          <w:b/>
          <w:color w:val="003399"/>
          <w:sz w:val="28"/>
        </w:rPr>
        <w:t>4.1 Territory Management</w:t>
      </w:r>
    </w:p>
    <w:p>
      <w:pPr>
        <w:pStyle w:val="Heading4"/>
        <w:spacing w:before="200" w:after="80"/>
      </w:pPr>
      <w:r>
        <w:rPr>
          <w:rFonts w:ascii="Calibri" w:hAnsi="Calibri"/>
          <w:b/>
          <w:color w:val="003399"/>
          <w:sz w:val="24"/>
        </w:rPr>
        <w:t>Core Capabilities</w:t>
      </w:r>
    </w:p>
    <w:p>
      <w:pPr>
        <w:pStyle w:val="ListBullet"/>
        <w:ind w:left="360" w:firstLine="0"/>
      </w:pPr>
      <w:r>
        <w:rPr>
          <w:rFonts w:ascii="Calibri" w:hAnsi="Calibri"/>
          <w:sz w:val="22"/>
        </w:rPr>
        <w:t>Territory definitions with multi-level hierarchies</w:t>
      </w:r>
    </w:p>
    <w:p>
      <w:pPr>
        <w:pStyle w:val="ListBullet"/>
        <w:ind w:left="360" w:firstLine="0"/>
      </w:pPr>
      <w:r>
        <w:rPr>
          <w:rFonts w:ascii="Calibri" w:hAnsi="Calibri"/>
          <w:sz w:val="22"/>
        </w:rPr>
        <w:t>Customer-to-territory alignment with rule-based assignment</w:t>
      </w:r>
    </w:p>
    <w:p>
      <w:pPr>
        <w:pStyle w:val="ListBullet"/>
        <w:ind w:left="360" w:firstLine="0"/>
      </w:pPr>
      <w:r>
        <w:rPr>
          <w:rFonts w:ascii="Calibri" w:hAnsi="Calibri"/>
          <w:sz w:val="22"/>
        </w:rPr>
        <w:t>Support for both primary and parallel sales teams</w:t>
      </w:r>
    </w:p>
    <w:p>
      <w:pPr>
        <w:pStyle w:val="ListBullet"/>
        <w:ind w:left="360" w:firstLine="0"/>
      </w:pPr>
      <w:r>
        <w:rPr>
          <w:rFonts w:ascii="Calibri" w:hAnsi="Calibri"/>
          <w:sz w:val="22"/>
        </w:rPr>
        <w:t>Territory changes with approval workflows</w:t>
      </w:r>
    </w:p>
    <w:p>
      <w:pPr>
        <w:pStyle w:val="ListBullet"/>
        <w:ind w:left="360" w:firstLine="0"/>
      </w:pPr>
      <w:r>
        <w:rPr>
          <w:rFonts w:ascii="Calibri" w:hAnsi="Calibri"/>
          <w:sz w:val="22"/>
        </w:rPr>
        <w:t>Time-based territory snapshots and historical tracking</w:t>
      </w:r>
    </w:p>
    <w:p>
      <w:pPr>
        <w:pStyle w:val="Heading4"/>
        <w:spacing w:before="200" w:after="80"/>
      </w:pPr>
      <w:r>
        <w:rPr>
          <w:rFonts w:ascii="Calibri" w:hAnsi="Calibri"/>
          <w:b/>
          <w:color w:val="003399"/>
          <w:sz w:val="24"/>
        </w:rPr>
        <w:t>Key Data Entities</w:t>
      </w:r>
    </w:p>
    <w:p>
      <w:pPr>
        <w:pStyle w:val="ListBullet"/>
        <w:ind w:left="360" w:firstLine="0"/>
      </w:pPr>
      <w:r>
        <w:rPr>
          <w:rFonts w:ascii="Calibri" w:hAnsi="Calibri"/>
          <w:sz w:val="22"/>
        </w:rPr>
        <w:t>Territory Definitions</w:t>
      </w:r>
    </w:p>
    <w:p>
      <w:pPr>
        <w:pStyle w:val="ListBullet"/>
        <w:ind w:left="360" w:firstLine="0"/>
      </w:pPr>
      <w:r>
        <w:rPr>
          <w:rFonts w:ascii="Calibri" w:hAnsi="Calibri"/>
          <w:sz w:val="22"/>
        </w:rPr>
        <w:t xml:space="preserve">Territory Hierarchies  </w:t>
      </w:r>
    </w:p>
    <w:p>
      <w:pPr>
        <w:pStyle w:val="ListBullet"/>
        <w:ind w:left="360" w:firstLine="0"/>
      </w:pPr>
      <w:r>
        <w:rPr>
          <w:rFonts w:ascii="Calibri" w:hAnsi="Calibri"/>
          <w:sz w:val="22"/>
        </w:rPr>
        <w:t>Customer Segmentation</w:t>
      </w:r>
    </w:p>
    <w:p>
      <w:pPr>
        <w:pStyle w:val="ListBullet"/>
        <w:ind w:left="360" w:firstLine="0"/>
      </w:pPr>
      <w:r>
        <w:rPr>
          <w:rFonts w:ascii="Calibri" w:hAnsi="Calibri"/>
          <w:sz w:val="22"/>
        </w:rPr>
        <w:t>Customer-Territory Relationships</w:t>
      </w:r>
    </w:p>
    <w:p>
      <w:pPr>
        <w:pStyle w:val="ListBullet"/>
        <w:ind w:left="360" w:firstLine="0"/>
      </w:pPr>
      <w:r>
        <w:rPr>
          <w:rFonts w:ascii="Calibri" w:hAnsi="Calibri"/>
          <w:sz w:val="22"/>
        </w:rPr>
        <w:t>Territory Assignments</w:t>
      </w:r>
    </w:p>
    <w:p>
      <w:pPr>
        <w:pStyle w:val="Heading4"/>
        <w:spacing w:before="200" w:after="80"/>
      </w:pPr>
      <w:r>
        <w:rPr>
          <w:rFonts w:ascii="Calibri" w:hAnsi="Calibri"/>
          <w:b/>
          <w:color w:val="003399"/>
          <w:sz w:val="24"/>
        </w:rPr>
        <w:t>Workflows</w:t>
      </w:r>
    </w:p>
    <w:p>
      <w:pPr>
        <w:pStyle w:val="ListNumber"/>
        <w:ind w:left="360" w:firstLine="0"/>
      </w:pPr>
      <w:r>
        <w:rPr>
          <w:rFonts w:ascii="Calibri" w:hAnsi="Calibri"/>
          <w:sz w:val="22"/>
        </w:rPr>
        <w:t>Territory Creation/Modification</w:t>
      </w:r>
    </w:p>
    <w:p>
      <w:pPr>
        <w:pStyle w:val="ListNumber"/>
        <w:ind w:left="360" w:firstLine="0"/>
      </w:pPr>
      <w:r>
        <w:rPr>
          <w:rFonts w:ascii="Calibri" w:hAnsi="Calibri"/>
          <w:sz w:val="22"/>
        </w:rPr>
        <w:t>Territory request initiated</w:t>
      </w:r>
    </w:p>
    <w:p>
      <w:pPr>
        <w:pStyle w:val="ListNumber"/>
        <w:ind w:left="360" w:firstLine="0"/>
      </w:pPr>
      <w:r>
        <w:rPr>
          <w:rFonts w:ascii="Calibri" w:hAnsi="Calibri"/>
          <w:sz w:val="22"/>
        </w:rPr>
        <w:t>Approvals based on hierarchy</w:t>
      </w:r>
    </w:p>
    <w:p>
      <w:pPr>
        <w:pStyle w:val="ListNumber"/>
        <w:ind w:left="360" w:firstLine="0"/>
      </w:pPr>
      <w:r>
        <w:rPr>
          <w:rFonts w:ascii="Calibri" w:hAnsi="Calibri"/>
          <w:sz w:val="22"/>
        </w:rPr>
        <w:t>Effective dating for changes</w:t>
      </w:r>
    </w:p>
    <w:p>
      <w:pPr>
        <w:pStyle w:val="ListNumber"/>
        <w:ind w:left="360" w:firstLine="0"/>
      </w:pPr>
      <w:r>
        <w:rPr>
          <w:rFonts w:ascii="Calibri" w:hAnsi="Calibri"/>
          <w:sz w:val="22"/>
        </w:rPr>
        <w:br/>
        <w:t>Notification to affected stakeholders</w:t>
        <w:br/>
      </w:r>
    </w:p>
    <w:p>
      <w:r>
        <w:rPr>
          <w:rFonts w:ascii="Calibri" w:hAnsi="Calibri"/>
          <w:sz w:val="22"/>
        </w:rPr>
        <w:t>Notification to affected stakeholders</w:t>
      </w:r>
    </w:p>
    <w:p>
      <w:r>
        <w:rPr>
          <w:rFonts w:ascii="Calibri" w:hAnsi="Calibri"/>
          <w:b/>
          <w:sz w:val="22"/>
        </w:rPr>
        <w:t>Customer Assignment</w:t>
      </w:r>
    </w:p>
    <w:p>
      <w:r>
        <w:rPr>
          <w:rFonts w:ascii="Calibri" w:hAnsi="Calibri"/>
          <w:sz w:val="22"/>
        </w:rPr>
        <w:t>History tracking of all changes</w:t>
      </w:r>
    </w:p>
    <w:p>
      <w:r>
        <w:rPr>
          <w:rFonts w:ascii="Calibri" w:hAnsi="Calibri"/>
          <w:b/>
          <w:sz w:val="22"/>
        </w:rPr>
        <w:t>Parallel Team Alignment</w:t>
      </w:r>
    </w:p>
    <w:p>
      <w:pPr>
        <w:pStyle w:val="Heading3"/>
        <w:spacing w:before="240" w:after="120"/>
      </w:pPr>
      <w:r>
        <w:rPr>
          <w:rFonts w:ascii="Calibri" w:hAnsi="Calibri"/>
          <w:b/>
          <w:color w:val="003399"/>
          <w:sz w:val="28"/>
        </w:rPr>
        <w:t>4.2 Quota Management</w:t>
      </w:r>
    </w:p>
    <w:p>
      <w:pPr>
        <w:pStyle w:val="Heading4"/>
        <w:spacing w:before="200" w:after="80"/>
      </w:pPr>
      <w:r>
        <w:rPr>
          <w:rFonts w:ascii="Calibri" w:hAnsi="Calibri"/>
          <w:b/>
          <w:color w:val="003399"/>
          <w:sz w:val="24"/>
        </w:rPr>
        <w:t>Core Capabilities</w:t>
      </w:r>
    </w:p>
    <w:p>
      <w:pPr>
        <w:pStyle w:val="ListBullet"/>
        <w:ind w:left="360" w:firstLine="0"/>
      </w:pPr>
      <w:r>
        <w:rPr>
          <w:rFonts w:ascii="Calibri" w:hAnsi="Calibri"/>
          <w:sz w:val="22"/>
        </w:rPr>
        <w:t>Top-down quota allocation with protection rules</w:t>
      </w:r>
    </w:p>
    <w:p>
      <w:pPr>
        <w:pStyle w:val="ListBullet"/>
        <w:ind w:left="360" w:firstLine="0"/>
      </w:pPr>
      <w:r>
        <w:rPr>
          <w:rFonts w:ascii="Calibri" w:hAnsi="Calibri"/>
          <w:sz w:val="22"/>
        </w:rPr>
        <w:t>Bottom-up quota aggregation and tracking</w:t>
      </w:r>
    </w:p>
    <w:p>
      <w:pPr>
        <w:pStyle w:val="ListBullet"/>
        <w:ind w:left="360" w:firstLine="0"/>
      </w:pPr>
      <w:r>
        <w:rPr>
          <w:rFonts w:ascii="Calibri" w:hAnsi="Calibri"/>
          <w:sz w:val="22"/>
        </w:rPr>
        <w:t>Quota adjustments with approval workflows</w:t>
      </w:r>
    </w:p>
    <w:p>
      <w:pPr>
        <w:pStyle w:val="ListBullet"/>
        <w:ind w:left="360" w:firstLine="0"/>
      </w:pPr>
      <w:r>
        <w:rPr>
          <w:rFonts w:ascii="Calibri" w:hAnsi="Calibri"/>
          <w:sz w:val="22"/>
        </w:rPr>
        <w:t>Integration with sales planning systems</w:t>
      </w:r>
    </w:p>
    <w:p>
      <w:pPr>
        <w:pStyle w:val="ListBullet"/>
        <w:ind w:left="360" w:firstLine="0"/>
      </w:pPr>
      <w:r>
        <w:rPr>
          <w:rFonts w:ascii="Calibri" w:hAnsi="Calibri"/>
          <w:sz w:val="22"/>
        </w:rPr>
        <w:t>Performance tracking against quotas</w:t>
      </w:r>
    </w:p>
    <w:p>
      <w:pPr>
        <w:pStyle w:val="Heading4"/>
        <w:spacing w:before="200" w:after="80"/>
      </w:pPr>
      <w:r>
        <w:rPr>
          <w:rFonts w:ascii="Calibri" w:hAnsi="Calibri"/>
          <w:b/>
          <w:color w:val="003399"/>
          <w:sz w:val="24"/>
        </w:rPr>
        <w:t>Key Data Entities</w:t>
      </w:r>
    </w:p>
    <w:p>
      <w:pPr>
        <w:pStyle w:val="ListBullet"/>
        <w:ind w:left="360" w:firstLine="0"/>
      </w:pPr>
      <w:r>
        <w:rPr>
          <w:rFonts w:ascii="Calibri" w:hAnsi="Calibri"/>
          <w:sz w:val="22"/>
        </w:rPr>
        <w:t>Quota Plans</w:t>
      </w:r>
    </w:p>
    <w:p>
      <w:pPr>
        <w:pStyle w:val="ListBullet"/>
        <w:ind w:left="360" w:firstLine="0"/>
      </w:pPr>
      <w:r>
        <w:rPr>
          <w:rFonts w:ascii="Calibri" w:hAnsi="Calibri"/>
          <w:sz w:val="22"/>
        </w:rPr>
        <w:t>Quota Allocations</w:t>
      </w:r>
    </w:p>
    <w:p>
      <w:pPr>
        <w:pStyle w:val="ListBullet"/>
        <w:ind w:left="360" w:firstLine="0"/>
      </w:pPr>
      <w:r>
        <w:rPr>
          <w:rFonts w:ascii="Calibri" w:hAnsi="Calibri"/>
          <w:sz w:val="22"/>
        </w:rPr>
        <w:t>Quota Adjustments</w:t>
      </w:r>
    </w:p>
    <w:p>
      <w:pPr>
        <w:pStyle w:val="ListBullet"/>
        <w:ind w:left="360" w:firstLine="0"/>
      </w:pPr>
      <w:r>
        <w:rPr>
          <w:rFonts w:ascii="Calibri" w:hAnsi="Calibri"/>
          <w:sz w:val="22"/>
        </w:rPr>
        <w:t>Attainment Tracking</w:t>
      </w:r>
    </w:p>
    <w:p>
      <w:pPr>
        <w:pStyle w:val="ListBullet"/>
        <w:ind w:left="360" w:firstLine="0"/>
      </w:pPr>
      <w:r>
        <w:rPr>
          <w:rFonts w:ascii="Calibri" w:hAnsi="Calibri"/>
          <w:sz w:val="22"/>
        </w:rPr>
        <w:t>Quota History</w:t>
      </w:r>
    </w:p>
    <w:p>
      <w:pPr>
        <w:pStyle w:val="Heading4"/>
        <w:spacing w:before="200" w:after="80"/>
      </w:pPr>
      <w:r>
        <w:rPr>
          <w:rFonts w:ascii="Calibri" w:hAnsi="Calibri"/>
          <w:b/>
          <w:color w:val="003399"/>
          <w:sz w:val="24"/>
        </w:rPr>
        <w:t>Workflows</w:t>
      </w:r>
    </w:p>
    <w:p>
      <w:pPr>
        <w:pStyle w:val="ListNumber"/>
        <w:ind w:left="360" w:firstLine="0"/>
      </w:pPr>
      <w:r>
        <w:rPr>
          <w:rFonts w:ascii="Calibri" w:hAnsi="Calibri"/>
          <w:sz w:val="22"/>
        </w:rPr>
        <w:t>Quota Setting</w:t>
      </w:r>
    </w:p>
    <w:p>
      <w:pPr>
        <w:pStyle w:val="ListNumber"/>
        <w:ind w:left="360" w:firstLine="0"/>
      </w:pPr>
      <w:r>
        <w:rPr>
          <w:rFonts w:ascii="Calibri" w:hAnsi="Calibri"/>
          <w:sz w:val="22"/>
        </w:rPr>
        <w:t>Annual/quarterly quota planning</w:t>
      </w:r>
    </w:p>
    <w:p>
      <w:pPr>
        <w:pStyle w:val="ListNumber"/>
        <w:ind w:left="360" w:firstLine="0"/>
      </w:pPr>
      <w:r>
        <w:rPr>
          <w:rFonts w:ascii="Calibri" w:hAnsi="Calibri"/>
          <w:sz w:val="22"/>
        </w:rPr>
        <w:t>Top-down allocation to territories</w:t>
      </w:r>
    </w:p>
    <w:p>
      <w:pPr>
        <w:pStyle w:val="ListNumber"/>
        <w:ind w:left="360" w:firstLine="0"/>
      </w:pPr>
      <w:r>
        <w:rPr>
          <w:rFonts w:ascii="Calibri" w:hAnsi="Calibri"/>
          <w:sz w:val="22"/>
        </w:rPr>
        <w:t>Review and approval process</w:t>
      </w:r>
    </w:p>
    <w:p>
      <w:pPr>
        <w:pStyle w:val="ListNumber"/>
        <w:ind w:left="360" w:firstLine="0"/>
      </w:pPr>
      <w:r>
        <w:rPr>
          <w:rFonts w:ascii="Calibri" w:hAnsi="Calibri"/>
          <w:sz w:val="22"/>
        </w:rPr>
        <w:br/>
        <w:t>Finalization and communication</w:t>
        <w:br/>
      </w:r>
    </w:p>
    <w:p>
      <w:r>
        <w:rPr>
          <w:rFonts w:ascii="Calibri" w:hAnsi="Calibri"/>
          <w:sz w:val="22"/>
        </w:rPr>
        <w:t>Finalization and communication</w:t>
      </w:r>
    </w:p>
    <w:p>
      <w:r>
        <w:rPr>
          <w:rFonts w:ascii="Calibri" w:hAnsi="Calibri"/>
          <w:b/>
          <w:sz w:val="22"/>
        </w:rPr>
        <w:t>Quota Adjustment</w:t>
      </w:r>
    </w:p>
    <w:p>
      <w:r>
        <w:rPr>
          <w:rFonts w:ascii="Calibri" w:hAnsi="Calibri"/>
          <w:sz w:val="22"/>
        </w:rPr>
        <w:t>Recalculation of dependent quotas</w:t>
      </w:r>
    </w:p>
    <w:p>
      <w:r>
        <w:rPr>
          <w:rFonts w:ascii="Calibri" w:hAnsi="Calibri"/>
          <w:b/>
          <w:sz w:val="22"/>
        </w:rPr>
        <w:t>Performance Tracking</w:t>
      </w:r>
    </w:p>
    <w:p>
      <w:pPr>
        <w:pStyle w:val="Heading3"/>
        <w:spacing w:before="240" w:after="120"/>
      </w:pPr>
      <w:r>
        <w:rPr>
          <w:rFonts w:ascii="Calibri" w:hAnsi="Calibri"/>
          <w:b/>
          <w:color w:val="003399"/>
          <w:sz w:val="28"/>
        </w:rPr>
        <w:t>4.3 Incentive Compensation Management</w:t>
      </w:r>
    </w:p>
    <w:p>
      <w:pPr>
        <w:pStyle w:val="Heading4"/>
        <w:spacing w:before="200" w:after="80"/>
      </w:pPr>
      <w:r>
        <w:rPr>
          <w:rFonts w:ascii="Calibri" w:hAnsi="Calibri"/>
          <w:b/>
          <w:color w:val="003399"/>
          <w:sz w:val="24"/>
        </w:rPr>
        <w:t>Core Capabilities</w:t>
      </w:r>
    </w:p>
    <w:p>
      <w:pPr>
        <w:pStyle w:val="ListBullet"/>
        <w:ind w:left="360" w:firstLine="0"/>
      </w:pPr>
      <w:r>
        <w:rPr>
          <w:rFonts w:ascii="Calibri" w:hAnsi="Calibri"/>
          <w:sz w:val="22"/>
        </w:rPr>
        <w:t>Flexible plan design and configuration</w:t>
      </w:r>
    </w:p>
    <w:p>
      <w:pPr>
        <w:pStyle w:val="ListBullet"/>
        <w:ind w:left="360" w:firstLine="0"/>
      </w:pPr>
      <w:r>
        <w:rPr>
          <w:rFonts w:ascii="Calibri" w:hAnsi="Calibri"/>
          <w:sz w:val="22"/>
        </w:rPr>
        <w:t>Complex calculation rules and crediting</w:t>
      </w:r>
    </w:p>
    <w:p>
      <w:pPr>
        <w:pStyle w:val="ListBullet"/>
        <w:ind w:left="360" w:firstLine="0"/>
      </w:pPr>
      <w:r>
        <w:rPr>
          <w:rFonts w:ascii="Calibri" w:hAnsi="Calibri"/>
          <w:sz w:val="22"/>
        </w:rPr>
        <w:t>Multiple currency support</w:t>
      </w:r>
    </w:p>
    <w:p>
      <w:pPr>
        <w:pStyle w:val="ListBullet"/>
        <w:ind w:left="360" w:firstLine="0"/>
      </w:pPr>
      <w:r>
        <w:rPr>
          <w:rFonts w:ascii="Calibri" w:hAnsi="Calibri"/>
          <w:sz w:val="22"/>
        </w:rPr>
        <w:t>Performance-based incentives</w:t>
      </w:r>
    </w:p>
    <w:p>
      <w:pPr>
        <w:pStyle w:val="ListBullet"/>
        <w:ind w:left="360" w:firstLine="0"/>
      </w:pPr>
      <w:r>
        <w:rPr>
          <w:rFonts w:ascii="Calibri" w:hAnsi="Calibri"/>
          <w:sz w:val="22"/>
        </w:rPr>
        <w:t>Approval workflows for payouts</w:t>
      </w:r>
    </w:p>
    <w:p>
      <w:pPr>
        <w:pStyle w:val="ListBullet"/>
        <w:ind w:left="360" w:firstLine="0"/>
      </w:pPr>
      <w:r>
        <w:rPr>
          <w:rFonts w:ascii="Calibri" w:hAnsi="Calibri"/>
          <w:sz w:val="22"/>
        </w:rPr>
        <w:t>Statement generation and distribution</w:t>
      </w:r>
    </w:p>
    <w:p>
      <w:pPr>
        <w:pStyle w:val="ListBullet"/>
        <w:ind w:left="360" w:firstLine="0"/>
      </w:pPr>
      <w:r>
        <w:rPr>
          <w:rFonts w:ascii="Calibri" w:hAnsi="Calibri"/>
          <w:sz w:val="22"/>
        </w:rPr>
        <w:t>Dispute management</w:t>
      </w:r>
    </w:p>
    <w:p>
      <w:pPr>
        <w:pStyle w:val="Heading4"/>
        <w:spacing w:before="200" w:after="80"/>
      </w:pPr>
      <w:r>
        <w:rPr>
          <w:rFonts w:ascii="Calibri" w:hAnsi="Calibri"/>
          <w:b/>
          <w:color w:val="003399"/>
          <w:sz w:val="24"/>
        </w:rPr>
        <w:t>Key Data Entities</w:t>
      </w:r>
    </w:p>
    <w:p>
      <w:pPr>
        <w:pStyle w:val="ListBullet"/>
        <w:ind w:left="360" w:firstLine="0"/>
      </w:pPr>
      <w:r>
        <w:rPr>
          <w:rFonts w:ascii="Calibri" w:hAnsi="Calibri"/>
          <w:sz w:val="22"/>
        </w:rPr>
        <w:t>Compensation Plans</w:t>
      </w:r>
    </w:p>
    <w:p>
      <w:pPr>
        <w:pStyle w:val="ListBullet"/>
        <w:ind w:left="360" w:firstLine="0"/>
      </w:pPr>
      <w:r>
        <w:rPr>
          <w:rFonts w:ascii="Calibri" w:hAnsi="Calibri"/>
          <w:sz w:val="22"/>
        </w:rPr>
        <w:t>Plan Components</w:t>
      </w:r>
    </w:p>
    <w:p>
      <w:pPr>
        <w:pStyle w:val="ListBullet"/>
        <w:ind w:left="360" w:firstLine="0"/>
      </w:pPr>
      <w:r>
        <w:rPr>
          <w:rFonts w:ascii="Calibri" w:hAnsi="Calibri"/>
          <w:sz w:val="22"/>
        </w:rPr>
        <w:t>Calculation Rules</w:t>
      </w:r>
    </w:p>
    <w:p>
      <w:pPr>
        <w:pStyle w:val="ListBullet"/>
        <w:ind w:left="360" w:firstLine="0"/>
      </w:pPr>
      <w:r>
        <w:rPr>
          <w:rFonts w:ascii="Calibri" w:hAnsi="Calibri"/>
          <w:sz w:val="22"/>
        </w:rPr>
        <w:t>Credits and Transactions</w:t>
      </w:r>
    </w:p>
    <w:p>
      <w:pPr>
        <w:pStyle w:val="ListBullet"/>
        <w:ind w:left="360" w:firstLine="0"/>
      </w:pPr>
      <w:r>
        <w:rPr>
          <w:rFonts w:ascii="Calibri" w:hAnsi="Calibri"/>
          <w:sz w:val="22"/>
        </w:rPr>
        <w:t>Payments and Statements</w:t>
      </w:r>
    </w:p>
    <w:p>
      <w:pPr>
        <w:pStyle w:val="ListBullet"/>
        <w:ind w:left="360" w:firstLine="0"/>
      </w:pPr>
      <w:r>
        <w:rPr>
          <w:rFonts w:ascii="Calibri" w:hAnsi="Calibri"/>
          <w:sz w:val="22"/>
        </w:rPr>
        <w:t>Disputes and Resolutions</w:t>
      </w:r>
    </w:p>
    <w:p>
      <w:pPr>
        <w:pStyle w:val="Heading4"/>
        <w:spacing w:before="200" w:after="80"/>
      </w:pPr>
      <w:r>
        <w:rPr>
          <w:rFonts w:ascii="Calibri" w:hAnsi="Calibri"/>
          <w:b/>
          <w:color w:val="003399"/>
          <w:sz w:val="24"/>
        </w:rPr>
        <w:t>Workflows</w:t>
      </w:r>
    </w:p>
    <w:p>
      <w:pPr>
        <w:pStyle w:val="ListNumber"/>
        <w:ind w:left="360" w:firstLine="0"/>
      </w:pPr>
      <w:r>
        <w:rPr>
          <w:rFonts w:ascii="Calibri" w:hAnsi="Calibri"/>
          <w:sz w:val="22"/>
        </w:rPr>
        <w:t>Plan Design and Administration</w:t>
      </w:r>
    </w:p>
    <w:p>
      <w:pPr>
        <w:pStyle w:val="ListNumber"/>
        <w:ind w:left="360" w:firstLine="0"/>
      </w:pPr>
      <w:r>
        <w:rPr>
          <w:rFonts w:ascii="Calibri" w:hAnsi="Calibri"/>
          <w:sz w:val="22"/>
        </w:rPr>
        <w:t>Plan creation with components</w:t>
      </w:r>
    </w:p>
    <w:p>
      <w:pPr>
        <w:pStyle w:val="ListNumber"/>
        <w:ind w:left="360" w:firstLine="0"/>
      </w:pPr>
      <w:r>
        <w:rPr>
          <w:rFonts w:ascii="Calibri" w:hAnsi="Calibri"/>
          <w:sz w:val="22"/>
        </w:rPr>
        <w:t>Eligibility rules definition</w:t>
      </w:r>
    </w:p>
    <w:p>
      <w:pPr>
        <w:pStyle w:val="ListNumber"/>
        <w:ind w:left="360" w:firstLine="0"/>
      </w:pPr>
      <w:r>
        <w:rPr>
          <w:rFonts w:ascii="Calibri" w:hAnsi="Calibri"/>
          <w:sz w:val="22"/>
        </w:rPr>
        <w:t>Crediting configuration</w:t>
      </w:r>
    </w:p>
    <w:p>
      <w:pPr>
        <w:pStyle w:val="ListNumber"/>
        <w:ind w:left="360" w:firstLine="0"/>
      </w:pPr>
      <w:r>
        <w:rPr>
          <w:rFonts w:ascii="Calibri" w:hAnsi="Calibri"/>
          <w:sz w:val="22"/>
        </w:rPr>
        <w:br/>
        <w:t>Approval and activation process</w:t>
        <w:br/>
      </w:r>
    </w:p>
    <w:p>
      <w:r>
        <w:rPr>
          <w:rFonts w:ascii="Calibri" w:hAnsi="Calibri"/>
          <w:sz w:val="22"/>
        </w:rPr>
        <w:t>Approval and activation process</w:t>
      </w:r>
    </w:p>
    <w:p>
      <w:r>
        <w:rPr>
          <w:rFonts w:ascii="Calibri" w:hAnsi="Calibri"/>
          <w:b/>
          <w:sz w:val="22"/>
        </w:rPr>
        <w:t>Calculation Process</w:t>
      </w:r>
    </w:p>
    <w:p>
      <w:r>
        <w:rPr>
          <w:rFonts w:ascii="Calibri" w:hAnsi="Calibri"/>
          <w:sz w:val="22"/>
        </w:rPr>
        <w:t>Approval before payment</w:t>
      </w:r>
    </w:p>
    <w:p>
      <w:r>
        <w:rPr>
          <w:rFonts w:ascii="Calibri" w:hAnsi="Calibri"/>
          <w:b/>
          <w:sz w:val="22"/>
        </w:rPr>
        <w:t>Statement Generation and Distribution</w:t>
      </w:r>
    </w:p>
    <w:p>
      <w:r>
        <w:rPr>
          <w:rFonts w:ascii="Calibri" w:hAnsi="Calibri"/>
          <w:sz w:val="22"/>
        </w:rPr>
        <w:t>Archival for compliance</w:t>
      </w:r>
    </w:p>
    <w:p>
      <w:r>
        <w:rPr>
          <w:rFonts w:ascii="Calibri" w:hAnsi="Calibri"/>
          <w:b/>
          <w:sz w:val="22"/>
        </w:rPr>
        <w:t>Dispute Resolution</w:t>
      </w:r>
    </w:p>
    <w:p>
      <w:pPr>
        <w:pStyle w:val="Heading3"/>
        <w:spacing w:before="240" w:after="120"/>
      </w:pPr>
      <w:r>
        <w:rPr>
          <w:rFonts w:ascii="Calibri" w:hAnsi="Calibri"/>
          <w:b/>
          <w:color w:val="003399"/>
          <w:sz w:val="28"/>
        </w:rPr>
        <w:t>4.4 Integration Architecture</w:t>
      </w:r>
    </w:p>
    <w:p>
      <w:pPr>
        <w:pStyle w:val="Heading4"/>
        <w:spacing w:before="200" w:after="80"/>
      </w:pPr>
      <w:r>
        <w:rPr>
          <w:rFonts w:ascii="Calibri" w:hAnsi="Calibri"/>
          <w:b/>
          <w:color w:val="003399"/>
          <w:sz w:val="24"/>
        </w:rPr>
        <w:t>Inbound Data Flows</w:t>
      </w:r>
    </w:p>
    <w:p>
      <w:pPr>
        <w:pStyle w:val="ListNumber"/>
        <w:ind w:left="360" w:firstLine="0"/>
      </w:pPr>
      <w:r>
        <w:rPr>
          <w:rFonts w:ascii="Calibri" w:hAnsi="Calibri"/>
          <w:sz w:val="22"/>
        </w:rPr>
        <w:t>SAP/Centerpiece</w:t>
      </w:r>
    </w:p>
    <w:p>
      <w:pPr>
        <w:pStyle w:val="ListNumber"/>
        <w:ind w:left="360" w:firstLine="0"/>
      </w:pPr>
      <w:r>
        <w:rPr>
          <w:rFonts w:ascii="Calibri" w:hAnsi="Calibri"/>
          <w:sz w:val="22"/>
        </w:rPr>
        <w:t>Customer master data</w:t>
      </w:r>
    </w:p>
    <w:p>
      <w:pPr>
        <w:pStyle w:val="ListNumber"/>
        <w:ind w:left="360" w:firstLine="0"/>
      </w:pPr>
      <w:r>
        <w:rPr>
          <w:rFonts w:ascii="Calibri" w:hAnsi="Calibri"/>
          <w:sz w:val="22"/>
        </w:rPr>
        <w:t>Product hierarchy information</w:t>
      </w:r>
    </w:p>
    <w:p>
      <w:pPr>
        <w:pStyle w:val="ListNumber"/>
        <w:ind w:left="360" w:firstLine="0"/>
      </w:pPr>
      <w:r>
        <w:rPr>
          <w:rFonts w:ascii="Calibri" w:hAnsi="Calibri"/>
          <w:sz w:val="22"/>
        </w:rPr>
        <w:t>Base sales structure</w:t>
      </w:r>
    </w:p>
    <w:p>
      <w:pPr>
        <w:pStyle w:val="ListNumber"/>
        <w:ind w:left="360" w:firstLine="0"/>
      </w:pPr>
      <w:r>
        <w:rPr>
          <w:rFonts w:ascii="Calibri" w:hAnsi="Calibri"/>
          <w:sz w:val="22"/>
        </w:rPr>
        <w:br/>
        <w:t>Transaction data (sales, orders, invoices)</w:t>
        <w:br/>
      </w:r>
    </w:p>
    <w:p>
      <w:r>
        <w:rPr>
          <w:rFonts w:ascii="Calibri" w:hAnsi="Calibri"/>
          <w:sz w:val="22"/>
        </w:rPr>
        <w:t>Transaction data (sales, orders, invoices)</w:t>
      </w:r>
    </w:p>
    <w:p>
      <w:r>
        <w:rPr>
          <w:rFonts w:ascii="Calibri" w:hAnsi="Calibri"/>
          <w:b/>
          <w:sz w:val="22"/>
        </w:rPr>
        <w:t>DTRAK</w:t>
      </w:r>
    </w:p>
    <w:p>
      <w:r>
        <w:rPr>
          <w:rFonts w:ascii="Calibri" w:hAnsi="Calibri"/>
          <w:sz w:val="22"/>
        </w:rPr>
        <w:t>Implanting physician information</w:t>
      </w:r>
    </w:p>
    <w:p>
      <w:r>
        <w:rPr>
          <w:rFonts w:ascii="Calibri" w:hAnsi="Calibri"/>
          <w:b/>
          <w:sz w:val="22"/>
        </w:rPr>
        <w:t>HR Systems</w:t>
      </w:r>
    </w:p>
    <w:p>
      <w:r>
        <w:rPr>
          <w:rFonts w:ascii="Calibri" w:hAnsi="Calibri"/>
          <w:sz w:val="22"/>
        </w:rPr>
        <w:t>Position and job data</w:t>
      </w:r>
    </w:p>
    <w:p>
      <w:r>
        <w:rPr>
          <w:rFonts w:ascii="Calibri" w:hAnsi="Calibri"/>
          <w:b/>
          <w:sz w:val="22"/>
        </w:rPr>
        <w:t>Financial Systems</w:t>
      </w:r>
    </w:p>
    <w:p>
      <w:pPr>
        <w:pStyle w:val="Heading4"/>
        <w:spacing w:before="200" w:after="80"/>
      </w:pPr>
      <w:r>
        <w:rPr>
          <w:rFonts w:ascii="Calibri" w:hAnsi="Calibri"/>
          <w:b/>
          <w:color w:val="003399"/>
          <w:sz w:val="24"/>
        </w:rPr>
        <w:t>Outbound Data Flows</w:t>
      </w:r>
    </w:p>
    <w:p>
      <w:pPr>
        <w:pStyle w:val="ListNumber"/>
        <w:ind w:left="360" w:firstLine="0"/>
      </w:pPr>
      <w:r>
        <w:rPr>
          <w:rFonts w:ascii="Calibri" w:hAnsi="Calibri"/>
          <w:sz w:val="22"/>
        </w:rPr>
        <w:t>Snowflake</w:t>
      </w:r>
    </w:p>
    <w:p>
      <w:pPr>
        <w:pStyle w:val="ListNumber"/>
        <w:ind w:left="360" w:firstLine="0"/>
      </w:pPr>
      <w:r>
        <w:rPr>
          <w:rFonts w:ascii="Calibri" w:hAnsi="Calibri"/>
          <w:sz w:val="22"/>
        </w:rPr>
        <w:t>Territory and customer alignments</w:t>
      </w:r>
    </w:p>
    <w:p>
      <w:pPr>
        <w:pStyle w:val="ListNumber"/>
        <w:ind w:left="360" w:firstLine="0"/>
      </w:pPr>
      <w:r>
        <w:rPr>
          <w:rFonts w:ascii="Calibri" w:hAnsi="Calibri"/>
          <w:sz w:val="22"/>
        </w:rPr>
        <w:t>Performance metrics</w:t>
      </w:r>
    </w:p>
    <w:p>
      <w:pPr>
        <w:pStyle w:val="ListNumber"/>
        <w:ind w:left="360" w:firstLine="0"/>
      </w:pPr>
      <w:r>
        <w:rPr>
          <w:rFonts w:ascii="Calibri" w:hAnsi="Calibri"/>
          <w:sz w:val="22"/>
        </w:rPr>
        <w:br/>
        <w:t>Compensation data for analytics</w:t>
        <w:br/>
      </w:r>
    </w:p>
    <w:p>
      <w:r>
        <w:rPr>
          <w:rFonts w:ascii="Calibri" w:hAnsi="Calibri"/>
          <w:sz w:val="22"/>
        </w:rPr>
        <w:t>Compensation data for analytics</w:t>
      </w:r>
    </w:p>
    <w:p>
      <w:r>
        <w:rPr>
          <w:rFonts w:ascii="Calibri" w:hAnsi="Calibri"/>
          <w:b/>
          <w:sz w:val="22"/>
        </w:rPr>
        <w:t>Payroll Systems</w:t>
      </w:r>
    </w:p>
    <w:p>
      <w:r>
        <w:rPr>
          <w:rFonts w:ascii="Calibri" w:hAnsi="Calibri"/>
          <w:sz w:val="22"/>
        </w:rPr>
        <w:t>Tax information</w:t>
      </w:r>
    </w:p>
    <w:p>
      <w:r>
        <w:rPr>
          <w:rFonts w:ascii="Calibri" w:hAnsi="Calibri"/>
          <w:b/>
          <w:sz w:val="22"/>
        </w:rPr>
        <w:t>Reporting Systems</w:t>
      </w:r>
    </w:p>
    <w:p>
      <w:r>
        <w:rPr>
          <w:rFonts w:ascii="Calibri" w:hAnsi="Calibri"/>
          <w:sz w:val="22"/>
        </w:rPr>
        <w:t>Dashboards and KPIs</w:t>
      </w:r>
    </w:p>
    <w:p>
      <w:r>
        <w:rPr>
          <w:rFonts w:ascii="Calibri" w:hAnsi="Calibri"/>
          <w:b/>
          <w:sz w:val="22"/>
        </w:rPr>
        <w:t>Finance Systems</w:t>
      </w:r>
    </w:p>
    <w:p>
      <w:pPr>
        <w:pStyle w:val="Heading3"/>
        <w:spacing w:before="240" w:after="120"/>
      </w:pPr>
      <w:r>
        <w:rPr>
          <w:rFonts w:ascii="Calibri" w:hAnsi="Calibri"/>
          <w:b/>
          <w:color w:val="003399"/>
          <w:sz w:val="28"/>
        </w:rPr>
        <w:t>4.5 Security Model</w:t>
      </w:r>
    </w:p>
    <w:p>
      <w:r>
        <w:rPr>
          <w:rFonts w:ascii="Calibri" w:hAnsi="Calibri"/>
          <w:sz w:val="22"/>
        </w:rPr>
        <w:t>The security model will replace the current Exception Security App with a robust role-based access control system:</w:t>
      </w:r>
    </w:p>
    <w:p>
      <w:pPr>
        <w:pStyle w:val="ListNumber"/>
        <w:ind w:left="360" w:firstLine="0"/>
      </w:pPr>
      <w:r>
        <w:rPr>
          <w:rFonts w:ascii="Calibri" w:hAnsi="Calibri"/>
          <w:sz w:val="22"/>
        </w:rPr>
        <w:t>User Roles</w:t>
      </w:r>
    </w:p>
    <w:p>
      <w:pPr>
        <w:pStyle w:val="ListNumber"/>
        <w:ind w:left="360" w:firstLine="0"/>
      </w:pPr>
      <w:r>
        <w:rPr>
          <w:rFonts w:ascii="Calibri" w:hAnsi="Calibri"/>
          <w:sz w:val="22"/>
        </w:rPr>
        <w:t>Territory Managers</w:t>
      </w:r>
    </w:p>
    <w:p>
      <w:pPr>
        <w:pStyle w:val="ListNumber"/>
        <w:ind w:left="360" w:firstLine="0"/>
      </w:pPr>
      <w:r>
        <w:rPr>
          <w:rFonts w:ascii="Calibri" w:hAnsi="Calibri"/>
          <w:sz w:val="22"/>
        </w:rPr>
        <w:t>Sales Operations</w:t>
      </w:r>
    </w:p>
    <w:p>
      <w:pPr>
        <w:pStyle w:val="ListNumber"/>
        <w:ind w:left="360" w:firstLine="0"/>
      </w:pPr>
      <w:r>
        <w:rPr>
          <w:rFonts w:ascii="Calibri" w:hAnsi="Calibri"/>
          <w:sz w:val="22"/>
        </w:rPr>
        <w:t>Sales Representatives</w:t>
      </w:r>
    </w:p>
    <w:p>
      <w:pPr>
        <w:pStyle w:val="ListNumber"/>
        <w:ind w:left="360" w:firstLine="0"/>
      </w:pPr>
      <w:r>
        <w:rPr>
          <w:rFonts w:ascii="Calibri" w:hAnsi="Calibri"/>
          <w:sz w:val="22"/>
        </w:rPr>
        <w:t>Regional Managers</w:t>
      </w:r>
    </w:p>
    <w:p>
      <w:pPr>
        <w:pStyle w:val="ListNumber"/>
        <w:ind w:left="360" w:firstLine="0"/>
      </w:pPr>
      <w:r>
        <w:rPr>
          <w:rFonts w:ascii="Calibri" w:hAnsi="Calibri"/>
          <w:sz w:val="22"/>
        </w:rPr>
        <w:t>Compensation Administrators</w:t>
      </w:r>
    </w:p>
    <w:p>
      <w:pPr>
        <w:pStyle w:val="ListNumber"/>
        <w:ind w:left="360" w:firstLine="0"/>
      </w:pPr>
      <w:r>
        <w:rPr>
          <w:rFonts w:ascii="Calibri" w:hAnsi="Calibri"/>
          <w:sz w:val="22"/>
        </w:rPr>
        <w:t>Finance Users</w:t>
      </w:r>
    </w:p>
    <w:p>
      <w:pPr>
        <w:pStyle w:val="ListNumber"/>
        <w:ind w:left="360" w:firstLine="0"/>
      </w:pPr>
      <w:r>
        <w:rPr>
          <w:rFonts w:ascii="Calibri" w:hAnsi="Calibri"/>
          <w:sz w:val="22"/>
        </w:rPr>
        <w:t>HR Personnel</w:t>
      </w:r>
    </w:p>
    <w:p>
      <w:pPr>
        <w:pStyle w:val="ListNumber"/>
        <w:ind w:left="360" w:firstLine="0"/>
      </w:pPr>
      <w:r>
        <w:rPr>
          <w:rFonts w:ascii="Calibri" w:hAnsi="Calibri"/>
          <w:sz w:val="22"/>
        </w:rPr>
        <w:br/>
        <w:t>System Administrators</w:t>
        <w:br/>
      </w:r>
    </w:p>
    <w:p>
      <w:r>
        <w:rPr>
          <w:rFonts w:ascii="Calibri" w:hAnsi="Calibri"/>
          <w:sz w:val="22"/>
        </w:rPr>
        <w:t>System Administrators</w:t>
      </w:r>
    </w:p>
    <w:p>
      <w:r>
        <w:rPr>
          <w:rFonts w:ascii="Calibri" w:hAnsi="Calibri"/>
          <w:b/>
          <w:sz w:val="22"/>
        </w:rPr>
        <w:t>Access Controls</w:t>
      </w:r>
    </w:p>
    <w:p>
      <w:r>
        <w:rPr>
          <w:rFonts w:ascii="Calibri" w:hAnsi="Calibri"/>
          <w:sz w:val="22"/>
        </w:rPr>
        <w:t>Approval workflow permissions</w:t>
      </w:r>
    </w:p>
    <w:p>
      <w:r>
        <w:rPr>
          <w:rFonts w:ascii="Calibri" w:hAnsi="Calibri"/>
          <w:b/>
          <w:sz w:val="22"/>
        </w:rPr>
        <w:t>Audit &amp; Compliance</w:t>
      </w:r>
    </w:p>
    <w:p>
      <w:r>
        <w:t>________________________________________________________________________________</w:t>
      </w:r>
    </w:p>
    <w:p>
      <w:pPr>
        <w:pStyle w:val="Heading2"/>
        <w:spacing w:before="360" w:after="120"/>
      </w:pPr>
      <w:r>
        <w:rPr>
          <w:rFonts w:ascii="Calibri" w:hAnsi="Calibri"/>
          <w:b/>
          <w:color w:val="003399"/>
          <w:sz w:val="32"/>
        </w:rPr>
        <w:t>5. Data Migration Strategy</w:t>
      </w:r>
    </w:p>
    <w:p>
      <w:pPr>
        <w:pStyle w:val="Heading3"/>
        <w:spacing w:before="240" w:after="120"/>
      </w:pPr>
      <w:r>
        <w:rPr>
          <w:rFonts w:ascii="Calibri" w:hAnsi="Calibri"/>
          <w:b/>
          <w:color w:val="003399"/>
          <w:sz w:val="28"/>
        </w:rPr>
        <w:t>5.1 Legacy Data Sources</w:t>
      </w:r>
    </w:p>
    <w:p>
      <w:r>
        <w:rPr>
          <w:rFonts w:ascii="Calibri" w:hAnsi="Calibri"/>
          <w:sz w:val="22"/>
        </w:rPr>
        <w:t>The implementation will migrate data from the following sources:</w:t>
      </w:r>
    </w:p>
    <w:p>
      <w:pPr>
        <w:pStyle w:val="ListNumber"/>
        <w:ind w:left="360" w:firstLine="0"/>
      </w:pPr>
      <w:r>
        <w:rPr>
          <w:rFonts w:ascii="Calibri" w:hAnsi="Calibri"/>
          <w:sz w:val="22"/>
        </w:rPr>
        <w:t>GSR Applications</w:t>
      </w:r>
    </w:p>
    <w:p>
      <w:pPr>
        <w:pStyle w:val="ListNumber"/>
        <w:ind w:left="360" w:firstLine="0"/>
      </w:pPr>
      <w:r>
        <w:rPr>
          <w:rFonts w:ascii="Calibri" w:hAnsi="Calibri"/>
          <w:sz w:val="22"/>
        </w:rPr>
        <w:t>Parallel Sales Team apps (US CV Strategic, Co-Sell, OUS Parallel)</w:t>
      </w:r>
    </w:p>
    <w:p>
      <w:pPr>
        <w:pStyle w:val="ListNumber"/>
        <w:ind w:left="360" w:firstLine="0"/>
      </w:pPr>
      <w:r>
        <w:rPr>
          <w:rFonts w:ascii="Calibri" w:hAnsi="Calibri"/>
          <w:sz w:val="22"/>
        </w:rPr>
        <w:t>Implanter Reassignment App</w:t>
      </w:r>
    </w:p>
    <w:p>
      <w:pPr>
        <w:pStyle w:val="ListNumber"/>
        <w:ind w:left="360" w:firstLine="0"/>
      </w:pPr>
      <w:r>
        <w:rPr>
          <w:rFonts w:ascii="Calibri" w:hAnsi="Calibri"/>
          <w:sz w:val="22"/>
        </w:rPr>
        <w:t>Manual Sales Adjustment App</w:t>
      </w:r>
    </w:p>
    <w:p>
      <w:pPr>
        <w:pStyle w:val="ListNumber"/>
        <w:ind w:left="360" w:firstLine="0"/>
      </w:pPr>
      <w:r>
        <w:rPr>
          <w:rFonts w:ascii="Calibri" w:hAnsi="Calibri"/>
          <w:sz w:val="22"/>
        </w:rPr>
        <w:br/>
        <w:t>Exception Security App</w:t>
        <w:br/>
      </w:r>
    </w:p>
    <w:p>
      <w:r>
        <w:rPr>
          <w:rFonts w:ascii="Calibri" w:hAnsi="Calibri"/>
          <w:sz w:val="22"/>
        </w:rPr>
        <w:t>Exception Security App</w:t>
      </w:r>
    </w:p>
    <w:p>
      <w:r>
        <w:rPr>
          <w:rFonts w:ascii="Calibri" w:hAnsi="Calibri"/>
          <w:b/>
          <w:sz w:val="22"/>
        </w:rPr>
        <w:t>SAP/Centerpiece</w:t>
      </w:r>
    </w:p>
    <w:p>
      <w:r>
        <w:rPr>
          <w:rFonts w:ascii="Calibri" w:hAnsi="Calibri"/>
          <w:sz w:val="22"/>
        </w:rPr>
        <w:t>Customer assignments</w:t>
      </w:r>
    </w:p>
    <w:p>
      <w:r>
        <w:rPr>
          <w:rFonts w:ascii="Calibri" w:hAnsi="Calibri"/>
          <w:b/>
          <w:sz w:val="22"/>
        </w:rPr>
        <w:t>Local Systems</w:t>
      </w:r>
    </w:p>
    <w:p>
      <w:pPr>
        <w:pStyle w:val="Heading3"/>
        <w:spacing w:before="240" w:after="120"/>
      </w:pPr>
      <w:r>
        <w:rPr>
          <w:rFonts w:ascii="Calibri" w:hAnsi="Calibri"/>
          <w:b/>
          <w:color w:val="003399"/>
          <w:sz w:val="28"/>
        </w:rPr>
        <w:t>5.2 Migration Approach</w:t>
      </w:r>
    </w:p>
    <w:p>
      <w:pPr>
        <w:pStyle w:val="ListNumber"/>
        <w:ind w:left="360" w:firstLine="0"/>
      </w:pPr>
      <w:r>
        <w:rPr>
          <w:rFonts w:ascii="Calibri" w:hAnsi="Calibri"/>
          <w:sz w:val="22"/>
        </w:rPr>
        <w:t>Assessment &amp; Mapping</w:t>
      </w:r>
    </w:p>
    <w:p>
      <w:pPr>
        <w:pStyle w:val="ListNumber"/>
        <w:ind w:left="360" w:firstLine="0"/>
      </w:pPr>
      <w:r>
        <w:rPr>
          <w:rFonts w:ascii="Calibri" w:hAnsi="Calibri"/>
          <w:sz w:val="22"/>
        </w:rPr>
        <w:t>Inventory all data sources</w:t>
      </w:r>
    </w:p>
    <w:p>
      <w:pPr>
        <w:pStyle w:val="ListNumber"/>
        <w:ind w:left="360" w:firstLine="0"/>
      </w:pPr>
      <w:r>
        <w:rPr>
          <w:rFonts w:ascii="Calibri" w:hAnsi="Calibri"/>
          <w:sz w:val="22"/>
        </w:rPr>
        <w:t>Develop data mapping specifications</w:t>
      </w:r>
    </w:p>
    <w:p>
      <w:pPr>
        <w:pStyle w:val="ListNumber"/>
        <w:ind w:left="360" w:firstLine="0"/>
      </w:pPr>
      <w:r>
        <w:rPr>
          <w:rFonts w:ascii="Calibri" w:hAnsi="Calibri"/>
          <w:sz w:val="22"/>
        </w:rPr>
        <w:br/>
        <w:t>Validate completeness of source data</w:t>
        <w:br/>
      </w:r>
    </w:p>
    <w:p>
      <w:r>
        <w:rPr>
          <w:rFonts w:ascii="Calibri" w:hAnsi="Calibri"/>
          <w:sz w:val="22"/>
        </w:rPr>
        <w:t>Validate completeness of source data</w:t>
      </w:r>
    </w:p>
    <w:p>
      <w:r>
        <w:rPr>
          <w:rFonts w:ascii="Calibri" w:hAnsi="Calibri"/>
          <w:b/>
          <w:sz w:val="22"/>
        </w:rPr>
        <w:t>Transformation Rules</w:t>
      </w:r>
    </w:p>
    <w:p>
      <w:r>
        <w:rPr>
          <w:rFonts w:ascii="Calibri" w:hAnsi="Calibri"/>
          <w:sz w:val="22"/>
        </w:rPr>
        <w:t>Create exception handling processes</w:t>
      </w:r>
    </w:p>
    <w:p>
      <w:r>
        <w:rPr>
          <w:rFonts w:ascii="Calibri" w:hAnsi="Calibri"/>
          <w:b/>
          <w:sz w:val="22"/>
        </w:rPr>
        <w:t>Migration Execution</w:t>
      </w:r>
    </w:p>
    <w:p>
      <w:r>
        <w:rPr>
          <w:rFonts w:ascii="Calibri" w:hAnsi="Calibri"/>
          <w:sz w:val="22"/>
        </w:rPr>
        <w:t>Validate data integrity</w:t>
      </w:r>
    </w:p>
    <w:p>
      <w:r>
        <w:rPr>
          <w:rFonts w:ascii="Calibri" w:hAnsi="Calibri"/>
          <w:b/>
          <w:sz w:val="22"/>
        </w:rPr>
        <w:t>Historical Data Management</w:t>
      </w:r>
    </w:p>
    <w:p>
      <w:r>
        <w:t>________________________________________________________________________________</w:t>
      </w:r>
    </w:p>
    <w:p>
      <w:pPr>
        <w:pStyle w:val="Heading2"/>
        <w:spacing w:before="360" w:after="120"/>
      </w:pPr>
      <w:r>
        <w:rPr>
          <w:rFonts w:ascii="Calibri" w:hAnsi="Calibri"/>
          <w:b/>
          <w:color w:val="003399"/>
          <w:sz w:val="32"/>
        </w:rPr>
        <w:t>6. Implementation Approach</w:t>
      </w:r>
    </w:p>
    <w:p>
      <w:pPr>
        <w:pStyle w:val="Heading3"/>
        <w:spacing w:before="240" w:after="120"/>
      </w:pPr>
      <w:r>
        <w:rPr>
          <w:rFonts w:ascii="Calibri" w:hAnsi="Calibri"/>
          <w:b/>
          <w:color w:val="003399"/>
          <w:sz w:val="28"/>
        </w:rPr>
        <w:t>6.1 Phased Implementation</w:t>
      </w:r>
    </w:p>
    <w:p>
      <w:r>
        <w:rPr>
          <w:rFonts w:ascii="Calibri" w:hAnsi="Calibri"/>
          <w:sz w:val="22"/>
        </w:rPr>
        <w:t>The implementation will follow a phased approach to minimize business disruption:</w:t>
      </w:r>
    </w:p>
    <w:p>
      <w:r>
        <w:rPr>
          <w:rFonts w:ascii="Calibri" w:hAnsi="Calibri"/>
          <w:b/>
          <w:sz w:val="22"/>
        </w:rPr>
        <w:t>Phase 0: Assessment &amp; Design (Current Phase)</w:t>
      </w:r>
      <w:r>
        <w:rPr>
          <w:rFonts w:ascii="Calibri" w:hAnsi="Calibri"/>
          <w:sz w:val="22"/>
        </w:rPr>
        <w:br/>
        <w:t>- Detailed requirements analysis</w:t>
        <w:br/>
        <w:t>- Solution design and architecture</w:t>
        <w:br/>
        <w:t>- Migration strategy development</w:t>
        <w:br/>
        <w:t>- Implementation planning</w:t>
      </w:r>
    </w:p>
    <w:p>
      <w:r>
        <w:rPr>
          <w:rFonts w:ascii="Calibri" w:hAnsi="Calibri"/>
          <w:b/>
          <w:sz w:val="22"/>
        </w:rPr>
        <w:t>Phase 1: Core Territory Management &amp; Base Compensation</w:t>
      </w:r>
      <w:r>
        <w:rPr>
          <w:rFonts w:ascii="Calibri" w:hAnsi="Calibri"/>
          <w:sz w:val="22"/>
        </w:rPr>
        <w:br/>
        <w:t>- Global territory structure setup</w:t>
        <w:br/>
        <w:t>- Basic customer assignment capabilities</w:t>
        <w:br/>
        <w:t>- Core compensation plan configuration</w:t>
        <w:br/>
        <w:t>- Data migration from legacy systems</w:t>
        <w:br/>
        <w:t>- Initial rollout to pilot group (US Neuroscience)</w:t>
      </w:r>
    </w:p>
    <w:p>
      <w:r>
        <w:rPr>
          <w:rFonts w:ascii="Calibri" w:hAnsi="Calibri"/>
          <w:b/>
          <w:sz w:val="22"/>
        </w:rPr>
        <w:t>Phase 2: Advanced Territory Management &amp; Enhanced Compensation</w:t>
      </w:r>
      <w:r>
        <w:rPr>
          <w:rFonts w:ascii="Calibri" w:hAnsi="Calibri"/>
          <w:sz w:val="22"/>
        </w:rPr>
        <w:br/>
        <w:t>- Parallel team configurations</w:t>
        <w:br/>
        <w:t>- Enhanced approval workflows</w:t>
        <w:br/>
        <w:t>- Complex calculation rules implementation</w:t>
        <w:br/>
        <w:t>- Dispute resolution process</w:t>
        <w:br/>
        <w:t>- Expanded rollout to major regions (US Cardiovascular, Europe)</w:t>
      </w:r>
    </w:p>
    <w:p>
      <w:r>
        <w:rPr>
          <w:rFonts w:ascii="Calibri" w:hAnsi="Calibri"/>
          <w:b/>
          <w:sz w:val="22"/>
        </w:rPr>
        <w:t>Phase 3: Quota Management &amp; Full Compensation Deployment</w:t>
      </w:r>
      <w:r>
        <w:rPr>
          <w:rFonts w:ascii="Calibri" w:hAnsi="Calibri"/>
          <w:sz w:val="22"/>
        </w:rPr>
        <w:br/>
        <w:t>- Quota allocation framework</w:t>
        <w:br/>
        <w:t>- Advanced crediting rules</w:t>
        <w:br/>
        <w:t>- Performance tracking dashboards</w:t>
        <w:br/>
        <w:t>- Advanced analytics and reporting</w:t>
        <w:br/>
        <w:t>- Complete global deployment</w:t>
        <w:br/>
        <w:t>- Retirement of legacy systems</w:t>
      </w:r>
    </w:p>
    <w:p>
      <w:r>
        <w:rPr>
          <w:rFonts w:ascii="Calibri" w:hAnsi="Calibri"/>
          <w:b/>
          <w:sz w:val="22"/>
        </w:rPr>
        <w:t>Phase 4: Optimization &amp; Advanced Analytics</w:t>
      </w:r>
      <w:r>
        <w:rPr>
          <w:rFonts w:ascii="Calibri" w:hAnsi="Calibri"/>
          <w:sz w:val="22"/>
        </w:rPr>
        <w:br/>
        <w:t>- AI-driven territory optimization</w:t>
        <w:br/>
        <w:t>- Predictive performance modeling</w:t>
        <w:br/>
        <w:t>- Advanced compensation analytics</w:t>
        <w:br/>
        <w:t>- Enhanced mobile capabilities</w:t>
      </w:r>
    </w:p>
    <w:p>
      <w:pPr>
        <w:pStyle w:val="Heading3"/>
        <w:spacing w:before="240" w:after="120"/>
      </w:pPr>
      <w:r>
        <w:rPr>
          <w:rFonts w:ascii="Calibri" w:hAnsi="Calibri"/>
          <w:b/>
          <w:color w:val="003399"/>
          <w:sz w:val="28"/>
        </w:rPr>
        <w:t>6.2 Testing Strategy</w:t>
      </w:r>
    </w:p>
    <w:p>
      <w:pPr>
        <w:pStyle w:val="ListNumber"/>
        <w:ind w:left="360" w:firstLine="0"/>
      </w:pPr>
      <w:r>
        <w:rPr>
          <w:rFonts w:ascii="Calibri" w:hAnsi="Calibri"/>
          <w:sz w:val="22"/>
        </w:rPr>
        <w:t>Unit Testing</w:t>
      </w:r>
    </w:p>
    <w:p>
      <w:pPr>
        <w:pStyle w:val="ListNumber"/>
        <w:ind w:left="360" w:firstLine="0"/>
      </w:pPr>
      <w:r>
        <w:rPr>
          <w:rFonts w:ascii="Calibri" w:hAnsi="Calibri"/>
          <w:sz w:val="22"/>
        </w:rPr>
        <w:t>Component-level validation</w:t>
      </w:r>
    </w:p>
    <w:p>
      <w:pPr>
        <w:pStyle w:val="ListNumber"/>
        <w:ind w:left="360" w:firstLine="0"/>
      </w:pPr>
      <w:r>
        <w:rPr>
          <w:rFonts w:ascii="Calibri" w:hAnsi="Calibri"/>
          <w:sz w:val="22"/>
        </w:rPr>
        <w:t>Rule engine verification</w:t>
      </w:r>
    </w:p>
    <w:p>
      <w:pPr>
        <w:pStyle w:val="ListNumber"/>
        <w:ind w:left="360" w:firstLine="0"/>
      </w:pPr>
      <w:r>
        <w:rPr>
          <w:rFonts w:ascii="Calibri" w:hAnsi="Calibri"/>
          <w:sz w:val="22"/>
        </w:rPr>
        <w:br/>
        <w:t>Integration endpoint testing</w:t>
        <w:br/>
      </w:r>
    </w:p>
    <w:p>
      <w:r>
        <w:rPr>
          <w:rFonts w:ascii="Calibri" w:hAnsi="Calibri"/>
          <w:sz w:val="22"/>
        </w:rPr>
        <w:t>Integration endpoint testing</w:t>
      </w:r>
    </w:p>
    <w:p>
      <w:r>
        <w:rPr>
          <w:rFonts w:ascii="Calibri" w:hAnsi="Calibri"/>
          <w:b/>
          <w:sz w:val="22"/>
        </w:rPr>
        <w:t>System Integration Testing</w:t>
      </w:r>
    </w:p>
    <w:p>
      <w:r>
        <w:rPr>
          <w:rFonts w:ascii="Calibri" w:hAnsi="Calibri"/>
          <w:sz w:val="22"/>
        </w:rPr>
        <w:t>Performance under load</w:t>
      </w:r>
    </w:p>
    <w:p>
      <w:r>
        <w:rPr>
          <w:rFonts w:ascii="Calibri" w:hAnsi="Calibri"/>
          <w:b/>
          <w:sz w:val="22"/>
        </w:rPr>
        <w:t>User Acceptance Testing</w:t>
      </w:r>
    </w:p>
    <w:p>
      <w:r>
        <w:rPr>
          <w:rFonts w:ascii="Calibri" w:hAnsi="Calibri"/>
          <w:sz w:val="22"/>
        </w:rPr>
        <w:t>Legacy system comparison</w:t>
      </w:r>
    </w:p>
    <w:p>
      <w:r>
        <w:rPr>
          <w:rFonts w:ascii="Calibri" w:hAnsi="Calibri"/>
          <w:b/>
          <w:sz w:val="22"/>
        </w:rPr>
        <w:t>Parallel Testing</w:t>
      </w:r>
    </w:p>
    <w:p>
      <w:pPr>
        <w:pStyle w:val="Heading3"/>
        <w:spacing w:before="240" w:after="120"/>
      </w:pPr>
      <w:r>
        <w:rPr>
          <w:rFonts w:ascii="Calibri" w:hAnsi="Calibri"/>
          <w:b/>
          <w:color w:val="003399"/>
          <w:sz w:val="28"/>
        </w:rPr>
        <w:t>6.3 Deployment Strategy</w:t>
      </w:r>
    </w:p>
    <w:p>
      <w:pPr>
        <w:pStyle w:val="ListNumber"/>
        <w:ind w:left="360" w:firstLine="0"/>
      </w:pPr>
      <w:r>
        <w:rPr>
          <w:rFonts w:ascii="Calibri" w:hAnsi="Calibri"/>
          <w:sz w:val="22"/>
        </w:rPr>
        <w:t>Technical Deployment</w:t>
      </w:r>
    </w:p>
    <w:p>
      <w:pPr>
        <w:pStyle w:val="ListNumber"/>
        <w:ind w:left="360" w:firstLine="0"/>
      </w:pPr>
      <w:r>
        <w:rPr>
          <w:rFonts w:ascii="Calibri" w:hAnsi="Calibri"/>
          <w:sz w:val="22"/>
        </w:rPr>
        <w:t>Environment setup and configuration</w:t>
      </w:r>
    </w:p>
    <w:p>
      <w:pPr>
        <w:pStyle w:val="ListNumber"/>
        <w:ind w:left="360" w:firstLine="0"/>
      </w:pPr>
      <w:r>
        <w:rPr>
          <w:rFonts w:ascii="Calibri" w:hAnsi="Calibri"/>
          <w:sz w:val="22"/>
        </w:rPr>
        <w:t>Data migration execution</w:t>
      </w:r>
    </w:p>
    <w:p>
      <w:pPr>
        <w:pStyle w:val="ListNumber"/>
        <w:ind w:left="360" w:firstLine="0"/>
      </w:pPr>
      <w:r>
        <w:rPr>
          <w:rFonts w:ascii="Calibri" w:hAnsi="Calibri"/>
          <w:sz w:val="22"/>
        </w:rPr>
        <w:t>Integration enablement</w:t>
      </w:r>
    </w:p>
    <w:p>
      <w:pPr>
        <w:pStyle w:val="ListNumber"/>
        <w:ind w:left="360" w:firstLine="0"/>
      </w:pPr>
      <w:r>
        <w:rPr>
          <w:rFonts w:ascii="Calibri" w:hAnsi="Calibri"/>
          <w:sz w:val="22"/>
        </w:rPr>
        <w:br/>
        <w:t>Security implementation</w:t>
        <w:br/>
      </w:r>
    </w:p>
    <w:p>
      <w:r>
        <w:rPr>
          <w:rFonts w:ascii="Calibri" w:hAnsi="Calibri"/>
          <w:sz w:val="22"/>
        </w:rPr>
        <w:t>Security implementation</w:t>
      </w:r>
    </w:p>
    <w:p>
      <w:r>
        <w:rPr>
          <w:rFonts w:ascii="Calibri" w:hAnsi="Calibri"/>
          <w:b/>
          <w:sz w:val="22"/>
        </w:rPr>
        <w:t>Business Deployment</w:t>
      </w:r>
    </w:p>
    <w:p>
      <w:r>
        <w:t>________________________________________________________________________________</w:t>
      </w:r>
    </w:p>
    <w:p>
      <w:pPr>
        <w:pStyle w:val="Heading2"/>
        <w:spacing w:before="360" w:after="120"/>
      </w:pPr>
      <w:r>
        <w:rPr>
          <w:rFonts w:ascii="Calibri" w:hAnsi="Calibri"/>
          <w:b/>
          <w:color w:val="003399"/>
          <w:sz w:val="32"/>
        </w:rPr>
        <w:t>7. Organizational Impact and Change Management</w:t>
      </w:r>
    </w:p>
    <w:p>
      <w:pPr>
        <w:pStyle w:val="Heading3"/>
        <w:spacing w:before="240" w:after="120"/>
      </w:pPr>
      <w:r>
        <w:rPr>
          <w:rFonts w:ascii="Calibri" w:hAnsi="Calibri"/>
          <w:b/>
          <w:color w:val="003399"/>
          <w:sz w:val="28"/>
        </w:rPr>
        <w:t>7.1 Impacted Stakeholders</w:t>
      </w:r>
    </w:p>
    <w:p>
      <w:pPr>
        <w:pStyle w:val="ListNumber"/>
        <w:ind w:left="360" w:firstLine="0"/>
      </w:pPr>
      <w:r>
        <w:rPr>
          <w:rFonts w:ascii="Calibri" w:hAnsi="Calibri"/>
          <w:sz w:val="22"/>
        </w:rPr>
        <w:t>Sales Representatives (20,000+)</w:t>
      </w:r>
    </w:p>
    <w:p>
      <w:pPr>
        <w:pStyle w:val="ListNumber"/>
        <w:ind w:left="360" w:firstLine="0"/>
      </w:pPr>
      <w:r>
        <w:rPr>
          <w:rFonts w:ascii="Calibri" w:hAnsi="Calibri"/>
          <w:sz w:val="22"/>
        </w:rPr>
        <w:t>Access to territory information</w:t>
      </w:r>
    </w:p>
    <w:p>
      <w:pPr>
        <w:pStyle w:val="ListNumber"/>
        <w:ind w:left="360" w:firstLine="0"/>
      </w:pPr>
      <w:r>
        <w:rPr>
          <w:rFonts w:ascii="Calibri" w:hAnsi="Calibri"/>
          <w:sz w:val="22"/>
        </w:rPr>
        <w:t>Visibility into customer assignments</w:t>
      </w:r>
    </w:p>
    <w:p>
      <w:pPr>
        <w:pStyle w:val="ListNumber"/>
        <w:ind w:left="360" w:firstLine="0"/>
      </w:pPr>
      <w:r>
        <w:rPr>
          <w:rFonts w:ascii="Calibri" w:hAnsi="Calibri"/>
          <w:sz w:val="22"/>
        </w:rPr>
        <w:br/>
        <w:t>Performance tracking against quotas</w:t>
        <w:br/>
      </w:r>
    </w:p>
    <w:p>
      <w:r>
        <w:rPr>
          <w:rFonts w:ascii="Calibri" w:hAnsi="Calibri"/>
          <w:sz w:val="22"/>
        </w:rPr>
        <w:t>Performance tracking against quotas</w:t>
      </w:r>
    </w:p>
    <w:p>
      <w:r>
        <w:rPr>
          <w:rFonts w:ascii="Calibri" w:hAnsi="Calibri"/>
          <w:b/>
          <w:sz w:val="22"/>
        </w:rPr>
        <w:t>Sales Operations (500+)</w:t>
      </w:r>
    </w:p>
    <w:p>
      <w:r>
        <w:rPr>
          <w:rFonts w:ascii="Calibri" w:hAnsi="Calibri"/>
          <w:sz w:val="22"/>
        </w:rPr>
        <w:t>System administration</w:t>
      </w:r>
    </w:p>
    <w:p>
      <w:r>
        <w:rPr>
          <w:rFonts w:ascii="Calibri" w:hAnsi="Calibri"/>
          <w:b/>
          <w:sz w:val="22"/>
        </w:rPr>
        <w:t>Sales Leadership (1,000+)</w:t>
      </w:r>
    </w:p>
    <w:p>
      <w:r>
        <w:rPr>
          <w:rFonts w:ascii="Calibri" w:hAnsi="Calibri"/>
          <w:sz w:val="22"/>
        </w:rPr>
        <w:t>Strategic planning capabilities</w:t>
      </w:r>
    </w:p>
    <w:p>
      <w:r>
        <w:rPr>
          <w:rFonts w:ascii="Calibri" w:hAnsi="Calibri"/>
          <w:b/>
          <w:sz w:val="22"/>
        </w:rPr>
        <w:t>IT Support (50+)</w:t>
      </w:r>
    </w:p>
    <w:p>
      <w:pPr>
        <w:pStyle w:val="Heading3"/>
        <w:spacing w:before="240" w:after="120"/>
      </w:pPr>
      <w:r>
        <w:rPr>
          <w:rFonts w:ascii="Calibri" w:hAnsi="Calibri"/>
          <w:b/>
          <w:color w:val="003399"/>
          <w:sz w:val="28"/>
        </w:rPr>
        <w:t>7.2 Change Management Approach</w:t>
      </w:r>
    </w:p>
    <w:p>
      <w:pPr>
        <w:pStyle w:val="ListNumber"/>
        <w:ind w:left="360" w:firstLine="0"/>
      </w:pPr>
      <w:r>
        <w:rPr>
          <w:rFonts w:ascii="Calibri" w:hAnsi="Calibri"/>
          <w:sz w:val="22"/>
        </w:rPr>
        <w:t>Awareness &amp; Education</w:t>
      </w:r>
    </w:p>
    <w:p>
      <w:pPr>
        <w:pStyle w:val="ListNumber"/>
        <w:ind w:left="360" w:firstLine="0"/>
      </w:pPr>
      <w:r>
        <w:rPr>
          <w:rFonts w:ascii="Calibri" w:hAnsi="Calibri"/>
          <w:sz w:val="22"/>
        </w:rPr>
        <w:t>Executive sponsorship messaging</w:t>
      </w:r>
    </w:p>
    <w:p>
      <w:pPr>
        <w:pStyle w:val="ListNumber"/>
        <w:ind w:left="360" w:firstLine="0"/>
      </w:pPr>
      <w:r>
        <w:rPr>
          <w:rFonts w:ascii="Calibri" w:hAnsi="Calibri"/>
          <w:sz w:val="22"/>
        </w:rPr>
        <w:t>Regional change champion network</w:t>
      </w:r>
    </w:p>
    <w:p>
      <w:pPr>
        <w:pStyle w:val="ListNumber"/>
        <w:ind w:left="360" w:firstLine="0"/>
      </w:pPr>
      <w:r>
        <w:rPr>
          <w:rFonts w:ascii="Calibri" w:hAnsi="Calibri"/>
          <w:sz w:val="22"/>
        </w:rPr>
        <w:br/>
        <w:t>Role-specific communication plans</w:t>
        <w:br/>
      </w:r>
    </w:p>
    <w:p>
      <w:r>
        <w:rPr>
          <w:rFonts w:ascii="Calibri" w:hAnsi="Calibri"/>
          <w:sz w:val="22"/>
        </w:rPr>
        <w:t>Role-specific communication plans</w:t>
      </w:r>
    </w:p>
    <w:p>
      <w:r>
        <w:rPr>
          <w:rFonts w:ascii="Calibri" w:hAnsi="Calibri"/>
          <w:b/>
          <w:sz w:val="22"/>
        </w:rPr>
        <w:t>Training &amp; Enablement</w:t>
      </w:r>
    </w:p>
    <w:p>
      <w:r>
        <w:rPr>
          <w:rFonts w:ascii="Calibri" w:hAnsi="Calibri"/>
          <w:sz w:val="22"/>
        </w:rPr>
        <w:t>Hands-on system workshops</w:t>
      </w:r>
    </w:p>
    <w:p>
      <w:r>
        <w:rPr>
          <w:rFonts w:ascii="Calibri" w:hAnsi="Calibri"/>
          <w:b/>
          <w:sz w:val="22"/>
        </w:rPr>
        <w:t>Transition Support</w:t>
      </w:r>
    </w:p>
    <w:p>
      <w:r>
        <w:rPr>
          <w:rFonts w:ascii="Calibri" w:hAnsi="Calibri"/>
          <w:sz w:val="22"/>
        </w:rPr>
        <w:t>Feedback collection and incorporation</w:t>
      </w:r>
    </w:p>
    <w:p>
      <w:r>
        <w:rPr>
          <w:rFonts w:ascii="Calibri" w:hAnsi="Calibri"/>
          <w:b/>
          <w:sz w:val="22"/>
        </w:rPr>
        <w:t>Metrics &amp; Monitoring</w:t>
      </w:r>
    </w:p>
    <w:p>
      <w:r>
        <w:t>________________________________________________________________________________</w:t>
      </w:r>
    </w:p>
    <w:p>
      <w:pPr>
        <w:pStyle w:val="Heading2"/>
        <w:spacing w:before="360" w:after="120"/>
      </w:pPr>
      <w:r>
        <w:rPr>
          <w:rFonts w:ascii="Calibri" w:hAnsi="Calibri"/>
          <w:b/>
          <w:color w:val="003399"/>
          <w:sz w:val="32"/>
        </w:rPr>
        <w:t>8. Risk Management</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Risk</w:t>
            </w:r>
          </w:p>
        </w:tc>
        <w:tc>
          <w:tcPr>
            <w:tcW w:type="dxa" w:w="2340"/>
          </w:tcPr>
          <w:p>
            <w:r>
              <w:rPr>
                <w:b/>
              </w:rPr>
              <w:t>Impact</w:t>
            </w:r>
          </w:p>
        </w:tc>
        <w:tc>
          <w:tcPr>
            <w:tcW w:type="dxa" w:w="2340"/>
          </w:tcPr>
          <w:p>
            <w:r>
              <w:rPr>
                <w:b/>
              </w:rPr>
              <w:t>Likelihood</w:t>
            </w:r>
          </w:p>
        </w:tc>
        <w:tc>
          <w:tcPr>
            <w:tcW w:type="dxa" w:w="2340"/>
          </w:tcPr>
          <w:p>
            <w:r>
              <w:rPr>
                <w:b/>
              </w:rPr>
              <w:t>Mitigation Strategy</w:t>
            </w:r>
          </w:p>
        </w:tc>
      </w:tr>
      <w:tr>
        <w:tc>
          <w:tcPr>
            <w:tcW w:type="dxa" w:w="2340"/>
          </w:tcPr>
          <w:p>
            <w:r>
              <w:t>Data quality issues from legacy systems</w:t>
            </w:r>
          </w:p>
        </w:tc>
        <w:tc>
          <w:tcPr>
            <w:tcW w:type="dxa" w:w="2340"/>
          </w:tcPr>
          <w:p>
            <w:r>
              <w:t>High</w:t>
            </w:r>
          </w:p>
        </w:tc>
        <w:tc>
          <w:tcPr>
            <w:tcW w:type="dxa" w:w="2340"/>
          </w:tcPr>
          <w:p>
            <w:r>
              <w:t>High</w:t>
            </w:r>
          </w:p>
        </w:tc>
        <w:tc>
          <w:tcPr>
            <w:tcW w:type="dxa" w:w="2340"/>
          </w:tcPr>
          <w:p>
            <w:r>
              <w:t>Implement data cleansing and validation routines prior to migration. Establish data governance processes.</w:t>
            </w:r>
          </w:p>
        </w:tc>
      </w:tr>
      <w:tr>
        <w:tc>
          <w:tcPr>
            <w:tcW w:type="dxa" w:w="2340"/>
          </w:tcPr>
          <w:p>
            <w:r>
              <w:t>User resistance to new processes</w:t>
            </w:r>
          </w:p>
        </w:tc>
        <w:tc>
          <w:tcPr>
            <w:tcW w:type="dxa" w:w="2340"/>
          </w:tcPr>
          <w:p>
            <w:r>
              <w:t>Medium</w:t>
            </w:r>
          </w:p>
        </w:tc>
        <w:tc>
          <w:tcPr>
            <w:tcW w:type="dxa" w:w="2340"/>
          </w:tcPr>
          <w:p>
            <w:r>
              <w:t>Medium</w:t>
            </w:r>
          </w:p>
        </w:tc>
        <w:tc>
          <w:tcPr>
            <w:tcW w:type="dxa" w:w="2340"/>
          </w:tcPr>
          <w:p>
            <w:r>
              <w:t>Engage stakeholders early. Develop comprehensive training and communication plan. Highlight benefits.</w:t>
            </w:r>
          </w:p>
        </w:tc>
      </w:tr>
      <w:tr>
        <w:tc>
          <w:tcPr>
            <w:tcW w:type="dxa" w:w="2340"/>
          </w:tcPr>
          <w:p>
            <w:r>
              <w:t>Complex approval workflows delay implementation</w:t>
            </w:r>
          </w:p>
        </w:tc>
        <w:tc>
          <w:tcPr>
            <w:tcW w:type="dxa" w:w="2340"/>
          </w:tcPr>
          <w:p>
            <w:r>
              <w:t>High</w:t>
            </w:r>
          </w:p>
        </w:tc>
        <w:tc>
          <w:tcPr>
            <w:tcW w:type="dxa" w:w="2340"/>
          </w:tcPr>
          <w:p>
            <w:r>
              <w:t>Medium</w:t>
            </w:r>
          </w:p>
        </w:tc>
        <w:tc>
          <w:tcPr>
            <w:tcW w:type="dxa" w:w="2340"/>
          </w:tcPr>
          <w:p>
            <w:r>
              <w:t>Start with simplified workflows and evolve. Pilot with key business units first.</w:t>
            </w:r>
          </w:p>
        </w:tc>
      </w:tr>
      <w:tr>
        <w:tc>
          <w:tcPr>
            <w:tcW w:type="dxa" w:w="2340"/>
          </w:tcPr>
          <w:p>
            <w:r>
              <w:t>Integration challenges with compensation systems</w:t>
            </w:r>
          </w:p>
        </w:tc>
        <w:tc>
          <w:tcPr>
            <w:tcW w:type="dxa" w:w="2340"/>
          </w:tcPr>
          <w:p>
            <w:r>
              <w:t>High</w:t>
            </w:r>
          </w:p>
        </w:tc>
        <w:tc>
          <w:tcPr>
            <w:tcW w:type="dxa" w:w="2340"/>
          </w:tcPr>
          <w:p>
            <w:r>
              <w:t>Medium</w:t>
            </w:r>
          </w:p>
        </w:tc>
        <w:tc>
          <w:tcPr>
            <w:tcW w:type="dxa" w:w="2340"/>
          </w:tcPr>
          <w:p>
            <w:r>
              <w:t>Conduct early integration testing. Develop fallback procedures for critical processes.</w:t>
            </w:r>
          </w:p>
        </w:tc>
      </w:tr>
      <w:tr>
        <w:tc>
          <w:tcPr>
            <w:tcW w:type="dxa" w:w="2340"/>
          </w:tcPr>
          <w:p>
            <w:r>
              <w:t>Performance issues with large user base</w:t>
            </w:r>
          </w:p>
        </w:tc>
        <w:tc>
          <w:tcPr>
            <w:tcW w:type="dxa" w:w="2340"/>
          </w:tcPr>
          <w:p>
            <w:r>
              <w:t>Medium</w:t>
            </w:r>
          </w:p>
        </w:tc>
        <w:tc>
          <w:tcPr>
            <w:tcW w:type="dxa" w:w="2340"/>
          </w:tcPr>
          <w:p>
            <w:r>
              <w:t>Low</w:t>
            </w:r>
          </w:p>
        </w:tc>
        <w:tc>
          <w:tcPr>
            <w:tcW w:type="dxa" w:w="2340"/>
          </w:tcPr>
          <w:p>
            <w:r>
              <w:t>Performance test with realistic data volumes. Scale infrastructure appropriately.</w:t>
            </w:r>
          </w:p>
        </w:tc>
      </w:tr>
      <w:tr>
        <w:tc>
          <w:tcPr>
            <w:tcW w:type="dxa" w:w="2340"/>
          </w:tcPr>
          <w:p>
            <w:r>
              <w:t>Regional compliance requirements</w:t>
            </w:r>
          </w:p>
        </w:tc>
        <w:tc>
          <w:tcPr>
            <w:tcW w:type="dxa" w:w="2340"/>
          </w:tcPr>
          <w:p>
            <w:r>
              <w:t>Medium</w:t>
            </w:r>
          </w:p>
        </w:tc>
        <w:tc>
          <w:tcPr>
            <w:tcW w:type="dxa" w:w="2340"/>
          </w:tcPr>
          <w:p>
            <w:r>
              <w:t>Medium</w:t>
            </w:r>
          </w:p>
        </w:tc>
        <w:tc>
          <w:tcPr>
            <w:tcW w:type="dxa" w:w="2340"/>
          </w:tcPr>
          <w:p>
            <w:r>
              <w:t>Engage regional compliance teams early. Design flexible framework to accommodate variations.</w:t>
            </w:r>
          </w:p>
        </w:tc>
      </w:tr>
    </w:tbl>
    <w:p/>
    <w:p>
      <w:r>
        <w:t>________________________________________________________________________________</w:t>
      </w:r>
    </w:p>
    <w:p>
      <w:pPr>
        <w:pStyle w:val="Heading2"/>
        <w:spacing w:before="360" w:after="120"/>
      </w:pPr>
      <w:r>
        <w:rPr>
          <w:rFonts w:ascii="Calibri" w:hAnsi="Calibri"/>
          <w:b/>
          <w:color w:val="003399"/>
          <w:sz w:val="32"/>
        </w:rPr>
        <w:t>9. Timeline and Milestones</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Milestone</w:t>
            </w:r>
          </w:p>
        </w:tc>
        <w:tc>
          <w:tcPr>
            <w:tcW w:type="dxa" w:w="3120"/>
          </w:tcPr>
          <w:p>
            <w:r>
              <w:rPr>
                <w:b/>
              </w:rPr>
              <w:t>Target Date</w:t>
            </w:r>
          </w:p>
        </w:tc>
        <w:tc>
          <w:tcPr>
            <w:tcW w:type="dxa" w:w="3120"/>
          </w:tcPr>
          <w:p>
            <w:r>
              <w:rPr>
                <w:b/>
              </w:rPr>
              <w:t>Deliverables</w:t>
            </w:r>
          </w:p>
        </w:tc>
      </w:tr>
      <w:tr>
        <w:tc>
          <w:tcPr>
            <w:tcW w:type="dxa" w:w="3120"/>
          </w:tcPr>
          <w:p>
            <w:r>
              <w:t>Solution Design Approval</w:t>
            </w:r>
          </w:p>
        </w:tc>
        <w:tc>
          <w:tcPr>
            <w:tcW w:type="dxa" w:w="3120"/>
          </w:tcPr>
          <w:p>
            <w:r>
              <w:t>April 30, 2025</w:t>
            </w:r>
          </w:p>
        </w:tc>
        <w:tc>
          <w:tcPr>
            <w:tcW w:type="dxa" w:w="3120"/>
          </w:tcPr>
          <w:p>
            <w:r>
              <w:t>Approved solution design document</w:t>
            </w:r>
          </w:p>
        </w:tc>
      </w:tr>
      <w:tr>
        <w:tc>
          <w:tcPr>
            <w:tcW w:type="dxa" w:w="3120"/>
          </w:tcPr>
          <w:p>
            <w:r>
              <w:t>Phase 1 Implementation</w:t>
            </w:r>
          </w:p>
        </w:tc>
        <w:tc>
          <w:tcPr>
            <w:tcW w:type="dxa" w:w="3120"/>
          </w:tcPr>
          <w:p>
            <w:r>
              <w:t>July 15, 2025</w:t>
            </w:r>
          </w:p>
        </w:tc>
        <w:tc>
          <w:tcPr>
            <w:tcW w:type="dxa" w:w="3120"/>
          </w:tcPr>
          <w:p>
            <w:r>
              <w:t>Core territory management deployed to pilot regions</w:t>
            </w:r>
          </w:p>
        </w:tc>
      </w:tr>
      <w:tr>
        <w:tc>
          <w:tcPr>
            <w:tcW w:type="dxa" w:w="3120"/>
          </w:tcPr>
          <w:p>
            <w:r>
              <w:t>Phase 2 Implementation</w:t>
            </w:r>
          </w:p>
        </w:tc>
        <w:tc>
          <w:tcPr>
            <w:tcW w:type="dxa" w:w="3120"/>
          </w:tcPr>
          <w:p>
            <w:r>
              <w:t>October 1, 2025</w:t>
            </w:r>
          </w:p>
        </w:tc>
        <w:tc>
          <w:tcPr>
            <w:tcW w:type="dxa" w:w="3120"/>
          </w:tcPr>
          <w:p>
            <w:r>
              <w:t>Advanced territory management and initial quota capabilities</w:t>
            </w:r>
          </w:p>
        </w:tc>
      </w:tr>
      <w:tr>
        <w:tc>
          <w:tcPr>
            <w:tcW w:type="dxa" w:w="3120"/>
          </w:tcPr>
          <w:p>
            <w:r>
              <w:t>Phase 3 Implementation</w:t>
            </w:r>
          </w:p>
        </w:tc>
        <w:tc>
          <w:tcPr>
            <w:tcW w:type="dxa" w:w="3120"/>
          </w:tcPr>
          <w:p>
            <w:r>
              <w:t>January 15, 2026</w:t>
            </w:r>
          </w:p>
        </w:tc>
        <w:tc>
          <w:tcPr>
            <w:tcW w:type="dxa" w:w="3120"/>
          </w:tcPr>
          <w:p>
            <w:r>
              <w:t>Complete quota management and global rollout</w:t>
            </w:r>
          </w:p>
        </w:tc>
      </w:tr>
      <w:tr>
        <w:tc>
          <w:tcPr>
            <w:tcW w:type="dxa" w:w="3120"/>
          </w:tcPr>
          <w:p>
            <w:r>
              <w:t>Legacy System Retirement</w:t>
            </w:r>
          </w:p>
        </w:tc>
        <w:tc>
          <w:tcPr>
            <w:tcW w:type="dxa" w:w="3120"/>
          </w:tcPr>
          <w:p>
            <w:r>
              <w:t>April 15, 2026</w:t>
            </w:r>
          </w:p>
        </w:tc>
        <w:tc>
          <w:tcPr>
            <w:tcW w:type="dxa" w:w="3120"/>
          </w:tcPr>
          <w:p>
            <w:r>
              <w:t>Decommissioning of GSR applications</w:t>
            </w:r>
          </w:p>
        </w:tc>
      </w:tr>
    </w:tbl>
    <w:p/>
    <w:p>
      <w:r>
        <w:t>________________________________________________________________________________</w:t>
      </w:r>
    </w:p>
    <w:p>
      <w:pPr>
        <w:pStyle w:val="Heading2"/>
        <w:spacing w:before="360" w:after="120"/>
      </w:pPr>
      <w:r>
        <w:rPr>
          <w:rFonts w:ascii="Calibri" w:hAnsi="Calibri"/>
          <w:b/>
          <w:color w:val="003399"/>
          <w:sz w:val="32"/>
        </w:rPr>
        <w:t>10. Operational Considerations</w:t>
      </w:r>
    </w:p>
    <w:p>
      <w:pPr>
        <w:pStyle w:val="Heading3"/>
        <w:spacing w:before="240" w:after="120"/>
      </w:pPr>
      <w:r>
        <w:rPr>
          <w:rFonts w:ascii="Calibri" w:hAnsi="Calibri"/>
          <w:b/>
          <w:color w:val="003399"/>
          <w:sz w:val="28"/>
        </w:rPr>
        <w:t>10.1 System Administration</w:t>
      </w:r>
    </w:p>
    <w:p>
      <w:pPr>
        <w:pStyle w:val="ListNumber"/>
        <w:ind w:left="360" w:firstLine="0"/>
      </w:pPr>
      <w:r>
        <w:rPr>
          <w:rFonts w:ascii="Calibri" w:hAnsi="Calibri"/>
          <w:sz w:val="22"/>
        </w:rPr>
        <w:t>User Management</w:t>
      </w:r>
    </w:p>
    <w:p>
      <w:pPr>
        <w:pStyle w:val="ListNumber"/>
        <w:ind w:left="360" w:firstLine="0"/>
      </w:pPr>
      <w:r>
        <w:rPr>
          <w:rFonts w:ascii="Calibri" w:hAnsi="Calibri"/>
          <w:sz w:val="22"/>
        </w:rPr>
        <w:t>User provisioning processes</w:t>
      </w:r>
    </w:p>
    <w:p>
      <w:pPr>
        <w:pStyle w:val="ListNumber"/>
        <w:ind w:left="360" w:firstLine="0"/>
      </w:pPr>
      <w:r>
        <w:rPr>
          <w:rFonts w:ascii="Calibri" w:hAnsi="Calibri"/>
          <w:sz w:val="22"/>
        </w:rPr>
        <w:t>Role assignment workflows</w:t>
      </w:r>
    </w:p>
    <w:p>
      <w:pPr>
        <w:pStyle w:val="ListNumber"/>
        <w:ind w:left="360" w:firstLine="0"/>
      </w:pPr>
      <w:r>
        <w:rPr>
          <w:rFonts w:ascii="Calibri" w:hAnsi="Calibri"/>
          <w:sz w:val="22"/>
        </w:rPr>
        <w:br/>
        <w:t>Access request procedures</w:t>
        <w:br/>
      </w:r>
    </w:p>
    <w:p>
      <w:r>
        <w:rPr>
          <w:rFonts w:ascii="Calibri" w:hAnsi="Calibri"/>
          <w:sz w:val="22"/>
        </w:rPr>
        <w:t>Access request procedures</w:t>
      </w:r>
    </w:p>
    <w:p>
      <w:r>
        <w:rPr>
          <w:rFonts w:ascii="Calibri" w:hAnsi="Calibri"/>
          <w:b/>
          <w:sz w:val="22"/>
        </w:rPr>
        <w:t>Configuration Management</w:t>
      </w:r>
    </w:p>
    <w:p>
      <w:r>
        <w:rPr>
          <w:rFonts w:ascii="Calibri" w:hAnsi="Calibri"/>
          <w:sz w:val="22"/>
        </w:rPr>
        <w:t>Release management</w:t>
      </w:r>
    </w:p>
    <w:p>
      <w:r>
        <w:rPr>
          <w:rFonts w:ascii="Calibri" w:hAnsi="Calibri"/>
          <w:b/>
          <w:sz w:val="22"/>
        </w:rPr>
        <w:t>Data Management</w:t>
      </w:r>
    </w:p>
    <w:p>
      <w:pPr>
        <w:pStyle w:val="Heading3"/>
        <w:spacing w:before="240" w:after="120"/>
      </w:pPr>
      <w:r>
        <w:rPr>
          <w:rFonts w:ascii="Calibri" w:hAnsi="Calibri"/>
          <w:b/>
          <w:color w:val="003399"/>
          <w:sz w:val="28"/>
        </w:rPr>
        <w:t>10.2 Support Model</w:t>
      </w:r>
    </w:p>
    <w:p>
      <w:pPr>
        <w:pStyle w:val="ListNumber"/>
        <w:ind w:left="360" w:firstLine="0"/>
      </w:pPr>
      <w:r>
        <w:rPr>
          <w:rFonts w:ascii="Calibri" w:hAnsi="Calibri"/>
          <w:sz w:val="22"/>
        </w:rPr>
        <w:t>Tier 1 Support</w:t>
      </w:r>
    </w:p>
    <w:p>
      <w:pPr>
        <w:pStyle w:val="ListNumber"/>
        <w:ind w:left="360" w:firstLine="0"/>
      </w:pPr>
      <w:r>
        <w:rPr>
          <w:rFonts w:ascii="Calibri" w:hAnsi="Calibri"/>
          <w:sz w:val="22"/>
        </w:rPr>
        <w:t>User access and basic usage issues</w:t>
      </w:r>
    </w:p>
    <w:p>
      <w:pPr>
        <w:pStyle w:val="ListNumber"/>
        <w:ind w:left="360" w:firstLine="0"/>
      </w:pPr>
      <w:r>
        <w:rPr>
          <w:rFonts w:ascii="Calibri" w:hAnsi="Calibri"/>
          <w:sz w:val="22"/>
        </w:rPr>
        <w:t>Knowledge base and self-help resources</w:t>
      </w:r>
    </w:p>
    <w:p>
      <w:pPr>
        <w:pStyle w:val="ListNumber"/>
        <w:ind w:left="360" w:firstLine="0"/>
      </w:pPr>
      <w:r>
        <w:rPr>
          <w:rFonts w:ascii="Calibri" w:hAnsi="Calibri"/>
          <w:sz w:val="22"/>
        </w:rPr>
        <w:br/>
        <w:t>Initial issue triage</w:t>
        <w:br/>
      </w:r>
    </w:p>
    <w:p>
      <w:r>
        <w:rPr>
          <w:rFonts w:ascii="Calibri" w:hAnsi="Calibri"/>
          <w:sz w:val="22"/>
        </w:rPr>
        <w:t>Initial issue triage</w:t>
      </w:r>
    </w:p>
    <w:p>
      <w:r>
        <w:rPr>
          <w:rFonts w:ascii="Calibri" w:hAnsi="Calibri"/>
          <w:b/>
          <w:sz w:val="22"/>
        </w:rPr>
        <w:t>Tier 2 Support</w:t>
      </w:r>
    </w:p>
    <w:p>
      <w:r>
        <w:rPr>
          <w:rFonts w:ascii="Calibri" w:hAnsi="Calibri"/>
          <w:sz w:val="22"/>
        </w:rPr>
        <w:t>Complex workflow problems</w:t>
      </w:r>
    </w:p>
    <w:p>
      <w:r>
        <w:rPr>
          <w:rFonts w:ascii="Calibri" w:hAnsi="Calibri"/>
          <w:b/>
          <w:sz w:val="22"/>
        </w:rPr>
        <w:t>Tier 3 Support</w:t>
      </w:r>
    </w:p>
    <w:p>
      <w:r>
        <w:t>________________________________________________________________________________</w:t>
      </w:r>
    </w:p>
    <w:p>
      <w:pPr>
        <w:pStyle w:val="Heading2"/>
        <w:spacing w:before="360" w:after="120"/>
      </w:pPr>
      <w:r>
        <w:rPr>
          <w:rFonts w:ascii="Calibri" w:hAnsi="Calibri"/>
          <w:b/>
          <w:color w:val="003399"/>
          <w:sz w:val="32"/>
        </w:rPr>
        <w:t>11. Success Metrics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Metric</w:t>
            </w:r>
          </w:p>
        </w:tc>
        <w:tc>
          <w:tcPr>
            <w:tcW w:type="dxa" w:w="2340"/>
          </w:tcPr>
          <w:p>
            <w:r>
              <w:rPr>
                <w:b/>
              </w:rPr>
              <w:t>Current State</w:t>
            </w:r>
          </w:p>
        </w:tc>
        <w:tc>
          <w:tcPr>
            <w:tcW w:type="dxa" w:w="2340"/>
          </w:tcPr>
          <w:p>
            <w:r>
              <w:rPr>
                <w:b/>
              </w:rPr>
              <w:t>Target</w:t>
            </w:r>
          </w:p>
        </w:tc>
        <w:tc>
          <w:tcPr>
            <w:tcW w:type="dxa" w:w="2340"/>
          </w:tcPr>
          <w:p>
            <w:r>
              <w:rPr>
                <w:b/>
              </w:rPr>
              <w:t>Measurement Approach</w:t>
            </w:r>
          </w:p>
        </w:tc>
      </w:tr>
      <w:tr>
        <w:tc>
          <w:tcPr>
            <w:tcW w:type="dxa" w:w="2340"/>
          </w:tcPr>
          <w:p>
            <w:r>
              <w:t>Territory change cycle time</w:t>
            </w:r>
          </w:p>
        </w:tc>
        <w:tc>
          <w:tcPr>
            <w:tcW w:type="dxa" w:w="2340"/>
          </w:tcPr>
          <w:p>
            <w:r>
              <w:t>7-10 days</w:t>
            </w:r>
          </w:p>
        </w:tc>
        <w:tc>
          <w:tcPr>
            <w:tcW w:type="dxa" w:w="2340"/>
          </w:tcPr>
          <w:p>
            <w:r>
              <w:t>1-2 days</w:t>
            </w:r>
          </w:p>
        </w:tc>
        <w:tc>
          <w:tcPr>
            <w:tcW w:type="dxa" w:w="2340"/>
          </w:tcPr>
          <w:p>
            <w:r>
              <w:t>Track time from request to implementation</w:t>
            </w:r>
          </w:p>
        </w:tc>
      </w:tr>
      <w:tr>
        <w:tc>
          <w:tcPr>
            <w:tcW w:type="dxa" w:w="2340"/>
          </w:tcPr>
          <w:p>
            <w:r>
              <w:t>Quota allocation accuracy</w:t>
            </w:r>
          </w:p>
        </w:tc>
        <w:tc>
          <w:tcPr>
            <w:tcW w:type="dxa" w:w="2340"/>
          </w:tcPr>
          <w:p>
            <w:r>
              <w:t>85%</w:t>
            </w:r>
          </w:p>
        </w:tc>
        <w:tc>
          <w:tcPr>
            <w:tcW w:type="dxa" w:w="2340"/>
          </w:tcPr>
          <w:p>
            <w:r>
              <w:t>99%</w:t>
            </w:r>
          </w:p>
        </w:tc>
        <w:tc>
          <w:tcPr>
            <w:tcW w:type="dxa" w:w="2340"/>
          </w:tcPr>
          <w:p>
            <w:r>
              <w:t>Measure discrepancies and adjustments</w:t>
            </w:r>
          </w:p>
        </w:tc>
      </w:tr>
      <w:tr>
        <w:tc>
          <w:tcPr>
            <w:tcW w:type="dxa" w:w="2340"/>
          </w:tcPr>
          <w:p>
            <w:r>
              <w:t>Data integration timeliness</w:t>
            </w:r>
          </w:p>
        </w:tc>
        <w:tc>
          <w:tcPr>
            <w:tcW w:type="dxa" w:w="2340"/>
          </w:tcPr>
          <w:p>
            <w:r>
              <w:t>24 hours</w:t>
            </w:r>
          </w:p>
        </w:tc>
        <w:tc>
          <w:tcPr>
            <w:tcW w:type="dxa" w:w="2340"/>
          </w:tcPr>
          <w:p>
            <w:r>
              <w:t>3 hours</w:t>
            </w:r>
          </w:p>
        </w:tc>
        <w:tc>
          <w:tcPr>
            <w:tcW w:type="dxa" w:w="2340"/>
          </w:tcPr>
          <w:p>
            <w:r>
              <w:t>Monitor ETL completion times</w:t>
            </w:r>
          </w:p>
        </w:tc>
      </w:tr>
      <w:tr>
        <w:tc>
          <w:tcPr>
            <w:tcW w:type="dxa" w:w="2340"/>
          </w:tcPr>
          <w:p>
            <w:r>
              <w:t>Compensation calculation accuracy</w:t>
            </w:r>
          </w:p>
        </w:tc>
        <w:tc>
          <w:tcPr>
            <w:tcW w:type="dxa" w:w="2340"/>
          </w:tcPr>
          <w:p>
            <w:r>
              <w:t>95%</w:t>
            </w:r>
          </w:p>
        </w:tc>
        <w:tc>
          <w:tcPr>
            <w:tcW w:type="dxa" w:w="2340"/>
          </w:tcPr>
          <w:p>
            <w:r>
              <w:t>99.9%</w:t>
            </w:r>
          </w:p>
        </w:tc>
        <w:tc>
          <w:tcPr>
            <w:tcW w:type="dxa" w:w="2340"/>
          </w:tcPr>
          <w:p>
            <w:r>
              <w:t>Audit compensation results against manual calculations</w:t>
            </w:r>
          </w:p>
        </w:tc>
      </w:tr>
      <w:tr>
        <w:tc>
          <w:tcPr>
            <w:tcW w:type="dxa" w:w="2340"/>
          </w:tcPr>
          <w:p>
            <w:r>
              <w:t>Commission payment timeliness</w:t>
            </w:r>
          </w:p>
        </w:tc>
        <w:tc>
          <w:tcPr>
            <w:tcW w:type="dxa" w:w="2340"/>
          </w:tcPr>
          <w:p>
            <w:r>
              <w:t>15-20 days</w:t>
            </w:r>
          </w:p>
        </w:tc>
        <w:tc>
          <w:tcPr>
            <w:tcW w:type="dxa" w:w="2340"/>
          </w:tcPr>
          <w:p>
            <w:r>
              <w:t>5-7 days</w:t>
            </w:r>
          </w:p>
        </w:tc>
        <w:tc>
          <w:tcPr>
            <w:tcW w:type="dxa" w:w="2340"/>
          </w:tcPr>
          <w:p>
            <w:r>
              <w:t>Measure time from period close to payment</w:t>
            </w:r>
          </w:p>
        </w:tc>
      </w:tr>
      <w:tr>
        <w:tc>
          <w:tcPr>
            <w:tcW w:type="dxa" w:w="2340"/>
          </w:tcPr>
          <w:p>
            <w:r>
              <w:t>Dispute resolution time</w:t>
            </w:r>
          </w:p>
        </w:tc>
        <w:tc>
          <w:tcPr>
            <w:tcW w:type="dxa" w:w="2340"/>
          </w:tcPr>
          <w:p>
            <w:r>
              <w:t>14+ days</w:t>
            </w:r>
          </w:p>
        </w:tc>
        <w:tc>
          <w:tcPr>
            <w:tcW w:type="dxa" w:w="2340"/>
          </w:tcPr>
          <w:p>
            <w:r>
              <w:t>3-5 days</w:t>
            </w:r>
          </w:p>
        </w:tc>
        <w:tc>
          <w:tcPr>
            <w:tcW w:type="dxa" w:w="2340"/>
          </w:tcPr>
          <w:p>
            <w:r>
              <w:t>Track dispute lifecycle time</w:t>
            </w:r>
          </w:p>
        </w:tc>
      </w:tr>
      <w:tr>
        <w:tc>
          <w:tcPr>
            <w:tcW w:type="dxa" w:w="2340"/>
          </w:tcPr>
          <w:p>
            <w:r>
              <w:t>Calculation processing time</w:t>
            </w:r>
          </w:p>
        </w:tc>
        <w:tc>
          <w:tcPr>
            <w:tcW w:type="dxa" w:w="2340"/>
          </w:tcPr>
          <w:p>
            <w:r>
              <w:t>24-48 hours</w:t>
            </w:r>
          </w:p>
        </w:tc>
        <w:tc>
          <w:tcPr>
            <w:tcW w:type="dxa" w:w="2340"/>
          </w:tcPr>
          <w:p>
            <w:r>
              <w:t>2-4 hours</w:t>
            </w:r>
          </w:p>
        </w:tc>
        <w:tc>
          <w:tcPr>
            <w:tcW w:type="dxa" w:w="2340"/>
          </w:tcPr>
          <w:p>
            <w:r>
              <w:t>Measure processing runtime</w:t>
            </w:r>
          </w:p>
        </w:tc>
      </w:tr>
      <w:tr>
        <w:tc>
          <w:tcPr>
            <w:tcW w:type="dxa" w:w="2340"/>
          </w:tcPr>
          <w:p>
            <w:r>
              <w:t>User adoption</w:t>
            </w:r>
          </w:p>
        </w:tc>
        <w:tc>
          <w:tcPr>
            <w:tcW w:type="dxa" w:w="2340"/>
          </w:tcPr>
          <w:p>
            <w:r>
              <w:t>N/A</w:t>
            </w:r>
          </w:p>
        </w:tc>
        <w:tc>
          <w:tcPr>
            <w:tcW w:type="dxa" w:w="2340"/>
          </w:tcPr>
          <w:p>
            <w:r>
              <w:t>95%</w:t>
            </w:r>
          </w:p>
        </w:tc>
        <w:tc>
          <w:tcPr>
            <w:tcW w:type="dxa" w:w="2340"/>
          </w:tcPr>
          <w:p>
            <w:r>
              <w:t>Track active users vs. eligible users</w:t>
            </w:r>
          </w:p>
        </w:tc>
      </w:tr>
      <w:tr>
        <w:tc>
          <w:tcPr>
            <w:tcW w:type="dxa" w:w="2340"/>
          </w:tcPr>
          <w:p>
            <w:r>
              <w:t>Territory data accuracy</w:t>
            </w:r>
          </w:p>
        </w:tc>
        <w:tc>
          <w:tcPr>
            <w:tcW w:type="dxa" w:w="2340"/>
          </w:tcPr>
          <w:p>
            <w:r>
              <w:t>90%</w:t>
            </w:r>
          </w:p>
        </w:tc>
        <w:tc>
          <w:tcPr>
            <w:tcW w:type="dxa" w:w="2340"/>
          </w:tcPr>
          <w:p>
            <w:r>
              <w:t>99.5%</w:t>
            </w:r>
          </w:p>
        </w:tc>
        <w:tc>
          <w:tcPr>
            <w:tcW w:type="dxa" w:w="2340"/>
          </w:tcPr>
          <w:p>
            <w:r>
              <w:t>Audit customer-territory assignments</w:t>
            </w:r>
          </w:p>
        </w:tc>
      </w:tr>
      <w:tr>
        <w:tc>
          <w:tcPr>
            <w:tcW w:type="dxa" w:w="2340"/>
          </w:tcPr>
          <w:p>
            <w:r>
              <w:t>Performance reporting timeliness</w:t>
            </w:r>
          </w:p>
        </w:tc>
        <w:tc>
          <w:tcPr>
            <w:tcW w:type="dxa" w:w="2340"/>
          </w:tcPr>
          <w:p>
            <w:r>
              <w:t>48 hours</w:t>
            </w:r>
          </w:p>
        </w:tc>
        <w:tc>
          <w:tcPr>
            <w:tcW w:type="dxa" w:w="2340"/>
          </w:tcPr>
          <w:p>
            <w:r>
              <w:t>Real-time</w:t>
            </w:r>
          </w:p>
        </w:tc>
        <w:tc>
          <w:tcPr>
            <w:tcW w:type="dxa" w:w="2340"/>
          </w:tcPr>
          <w:p>
            <w:r>
              <w:t>Measure data refresh to reporting delay</w:t>
            </w:r>
          </w:p>
        </w:tc>
      </w:tr>
      <w:tr>
        <w:tc>
          <w:tcPr>
            <w:tcW w:type="dxa" w:w="2340"/>
          </w:tcPr>
          <w:p>
            <w:r>
              <w:t>System consolidation</w:t>
            </w:r>
          </w:p>
        </w:tc>
        <w:tc>
          <w:tcPr>
            <w:tcW w:type="dxa" w:w="2340"/>
          </w:tcPr>
          <w:p>
            <w:r>
              <w:t>4 systems</w:t>
            </w:r>
          </w:p>
        </w:tc>
        <w:tc>
          <w:tcPr>
            <w:tcW w:type="dxa" w:w="2340"/>
          </w:tcPr>
          <w:p>
            <w:r>
              <w:t>1 platform</w:t>
            </w:r>
          </w:p>
        </w:tc>
        <w:tc>
          <w:tcPr>
            <w:tcW w:type="dxa" w:w="2340"/>
          </w:tcPr>
          <w:p>
            <w:r>
              <w:t>Count of active compensation systems</w:t>
            </w:r>
          </w:p>
        </w:tc>
      </w:tr>
      <w:tr>
        <w:tc>
          <w:tcPr>
            <w:tcW w:type="dxa" w:w="2340"/>
          </w:tcPr>
          <w:p>
            <w:r>
              <w:t>Total cost of ownership</w:t>
            </w:r>
          </w:p>
        </w:tc>
        <w:tc>
          <w:tcPr>
            <w:tcW w:type="dxa" w:w="2340"/>
          </w:tcPr>
          <w:p>
            <w:r>
              <w:t>Current baseline</w:t>
            </w:r>
          </w:p>
        </w:tc>
        <w:tc>
          <w:tcPr>
            <w:tcW w:type="dxa" w:w="2340"/>
          </w:tcPr>
          <w:p>
            <w:r>
              <w:t>30% reduction</w:t>
            </w:r>
          </w:p>
        </w:tc>
        <w:tc>
          <w:tcPr>
            <w:tcW w:type="dxa" w:w="2340"/>
          </w:tcPr>
          <w:p>
            <w:r>
              <w:t>Measure annual operating costs</w:t>
            </w:r>
          </w:p>
        </w:tc>
      </w:tr>
    </w:tbl>
    <w:p/>
    <w:p>
      <w:r>
        <w:t>________________________________________________________________________________</w:t>
      </w:r>
    </w:p>
    <w:p>
      <w:pPr>
        <w:pStyle w:val="Heading2"/>
        <w:spacing w:before="360" w:after="120"/>
      </w:pPr>
      <w:r>
        <w:rPr>
          <w:rFonts w:ascii="Calibri" w:hAnsi="Calibri"/>
          <w:b/>
          <w:color w:val="003399"/>
          <w:sz w:val="32"/>
        </w:rPr>
        <w:t>12. Appendices</w:t>
      </w:r>
    </w:p>
    <w:p>
      <w:pPr>
        <w:pStyle w:val="Heading3"/>
        <w:spacing w:before="240" w:after="120"/>
      </w:pPr>
      <w:r>
        <w:rPr>
          <w:rFonts w:ascii="Calibri" w:hAnsi="Calibri"/>
          <w:b/>
          <w:color w:val="003399"/>
          <w:sz w:val="28"/>
        </w:rPr>
        <w:t>Appendix A: Current State GSR Applications Detail</w:t>
      </w:r>
    </w:p>
    <w:p>
      <w:pPr>
        <w:pStyle w:val="Heading4"/>
        <w:spacing w:before="200" w:after="80"/>
      </w:pPr>
      <w:r>
        <w:rPr>
          <w:rFonts w:ascii="Calibri" w:hAnsi="Calibri"/>
          <w:b/>
          <w:color w:val="003399"/>
          <w:sz w:val="24"/>
        </w:rPr>
        <w:t>Parallel Sales Team Apps</w:t>
      </w:r>
    </w:p>
    <w:p>
      <w:r>
        <w:rPr>
          <w:rFonts w:ascii="Calibri" w:hAnsi="Calibri"/>
          <w:sz w:val="22"/>
        </w:rPr>
        <w:t>Currently, Medtronic uses several applications to manage parallel sales teams:</w:t>
        <w:br/>
        <w:t>- US CV Strategic Sales Team App: Enables support for strategic customer accounts in Cardiovascular</w:t>
        <w:br/>
        <w:t>- US CV Co-Sell App: Enables the Co-Sell process for sales teams by providing a foundation to define Co-sell teams and credit both Diagnostic and Coronary Sales Reps</w:t>
        <w:br/>
        <w:t>- OUS Parallel Sales Team App: Contains configuration for automatic generation of sales credit to non-primary sales teams</w:t>
      </w:r>
    </w:p>
    <w:p>
      <w:pPr>
        <w:pStyle w:val="Heading4"/>
        <w:spacing w:before="200" w:after="80"/>
      </w:pPr>
      <w:r>
        <w:rPr>
          <w:rFonts w:ascii="Calibri" w:hAnsi="Calibri"/>
          <w:b/>
          <w:color w:val="003399"/>
          <w:sz w:val="24"/>
        </w:rPr>
        <w:t>Implanter Reassignment App</w:t>
      </w:r>
    </w:p>
    <w:p>
      <w:r>
        <w:rPr>
          <w:rFonts w:ascii="Calibri" w:hAnsi="Calibri"/>
          <w:sz w:val="22"/>
        </w:rPr>
        <w:t>Used to re-align implanting physicians to territories other than the primary rep assignment driven by SAP. This reduces "moving parts" and enables near-real-time reporting of territory changes.</w:t>
      </w:r>
    </w:p>
    <w:p>
      <w:pPr>
        <w:pStyle w:val="Heading4"/>
        <w:spacing w:before="200" w:after="80"/>
      </w:pPr>
      <w:r>
        <w:rPr>
          <w:rFonts w:ascii="Calibri" w:hAnsi="Calibri"/>
          <w:b/>
          <w:color w:val="003399"/>
          <w:sz w:val="24"/>
        </w:rPr>
        <w:t>Exception Security App</w:t>
      </w:r>
    </w:p>
    <w:p>
      <w:r>
        <w:rPr>
          <w:rFonts w:ascii="Calibri" w:hAnsi="Calibri"/>
          <w:sz w:val="22"/>
        </w:rPr>
        <w:t>Enables GSR admins to view and maintain user access to GSR Sales and Inventory data, providing security at the sales structure, location/country/entity, and business/customer levels.</w:t>
      </w:r>
    </w:p>
    <w:p>
      <w:pPr>
        <w:pStyle w:val="Heading4"/>
        <w:spacing w:before="200" w:after="80"/>
      </w:pPr>
      <w:r>
        <w:rPr>
          <w:rFonts w:ascii="Calibri" w:hAnsi="Calibri"/>
          <w:b/>
          <w:color w:val="003399"/>
          <w:sz w:val="24"/>
        </w:rPr>
        <w:t>Manual Sales Adjustment App</w:t>
      </w:r>
    </w:p>
    <w:p>
      <w:r>
        <w:rPr>
          <w:rFonts w:ascii="Calibri" w:hAnsi="Calibri"/>
          <w:sz w:val="22"/>
        </w:rPr>
        <w:t>Standard interface for entering revenue and quantity adjustments post-generation of invoices.</w:t>
      </w:r>
    </w:p>
    <w:p>
      <w:pPr>
        <w:pStyle w:val="Heading3"/>
        <w:spacing w:before="240" w:after="120"/>
      </w:pPr>
      <w:r>
        <w:rPr>
          <w:rFonts w:ascii="Calibri" w:hAnsi="Calibri"/>
          <w:b/>
          <w:color w:val="003399"/>
          <w:sz w:val="28"/>
        </w:rPr>
        <w:t>Appendix B: User Volume Analysis</w:t>
      </w:r>
    </w:p>
    <w:tbl>
      <w:tblPr>
        <w:tblStyle w:val="TableGrid"/>
        <w:tblW w:type="auto" w:w="0"/>
        <w:tblLook w:firstColumn="1" w:firstRow="1" w:lastColumn="0" w:lastRow="0" w:noHBand="0" w:noVBand="1" w:val="04A0"/>
      </w:tblPr>
      <w:tblGrid>
        <w:gridCol w:w="4680"/>
        <w:gridCol w:w="4680"/>
      </w:tblGrid>
      <w:tr>
        <w:tc>
          <w:tcPr>
            <w:tcW w:type="dxa" w:w="4680"/>
          </w:tcPr>
          <w:p>
            <w:r>
              <w:rPr>
                <w:b/>
              </w:rPr>
              <w:t>Region</w:t>
            </w:r>
          </w:p>
        </w:tc>
        <w:tc>
          <w:tcPr>
            <w:tcW w:type="dxa" w:w="4680"/>
          </w:tcPr>
          <w:p>
            <w:r>
              <w:rPr>
                <w:b/>
              </w:rPr>
              <w:t>User Count</w:t>
            </w:r>
          </w:p>
        </w:tc>
      </w:tr>
      <w:tr>
        <w:tc>
          <w:tcPr>
            <w:tcW w:type="dxa" w:w="4680"/>
          </w:tcPr>
          <w:p>
            <w:r>
              <w:t>US</w:t>
            </w:r>
          </w:p>
        </w:tc>
        <w:tc>
          <w:tcPr>
            <w:tcW w:type="dxa" w:w="4680"/>
          </w:tcPr>
          <w:p>
            <w:r>
              <w:t>9,400</w:t>
            </w:r>
          </w:p>
        </w:tc>
      </w:tr>
      <w:tr>
        <w:tc>
          <w:tcPr>
            <w:tcW w:type="dxa" w:w="4680"/>
          </w:tcPr>
          <w:p>
            <w:r>
              <w:t>Europe</w:t>
            </w:r>
          </w:p>
        </w:tc>
        <w:tc>
          <w:tcPr>
            <w:tcW w:type="dxa" w:w="4680"/>
          </w:tcPr>
          <w:p>
            <w:r>
              <w:t>4,200</w:t>
            </w:r>
          </w:p>
        </w:tc>
      </w:tr>
      <w:tr>
        <w:tc>
          <w:tcPr>
            <w:tcW w:type="dxa" w:w="4680"/>
          </w:tcPr>
          <w:p>
            <w:r>
              <w:t>Japan</w:t>
            </w:r>
          </w:p>
        </w:tc>
        <w:tc>
          <w:tcPr>
            <w:tcW w:type="dxa" w:w="4680"/>
          </w:tcPr>
          <w:p>
            <w:r>
              <w:t>1,650</w:t>
            </w:r>
          </w:p>
        </w:tc>
      </w:tr>
      <w:tr>
        <w:tc>
          <w:tcPr>
            <w:tcW w:type="dxa" w:w="4680"/>
          </w:tcPr>
          <w:p>
            <w:r>
              <w:t>ANZ</w:t>
            </w:r>
          </w:p>
        </w:tc>
        <w:tc>
          <w:tcPr>
            <w:tcW w:type="dxa" w:w="4680"/>
          </w:tcPr>
          <w:p>
            <w:r>
              <w:t>700</w:t>
            </w:r>
          </w:p>
        </w:tc>
      </w:tr>
      <w:tr>
        <w:tc>
          <w:tcPr>
            <w:tcW w:type="dxa" w:w="4680"/>
          </w:tcPr>
          <w:p>
            <w:r>
              <w:t>China</w:t>
            </w:r>
          </w:p>
        </w:tc>
        <w:tc>
          <w:tcPr>
            <w:tcW w:type="dxa" w:w="4680"/>
          </w:tcPr>
          <w:p>
            <w:r>
              <w:t>3,000</w:t>
            </w:r>
          </w:p>
        </w:tc>
      </w:tr>
      <w:tr>
        <w:tc>
          <w:tcPr>
            <w:tcW w:type="dxa" w:w="4680"/>
          </w:tcPr>
          <w:p>
            <w:r>
              <w:t>EMEA RLM</w:t>
            </w:r>
          </w:p>
        </w:tc>
        <w:tc>
          <w:tcPr>
            <w:tcW w:type="dxa" w:w="4680"/>
          </w:tcPr>
          <w:p>
            <w:r>
              <w:t>1,650</w:t>
            </w:r>
          </w:p>
        </w:tc>
      </w:tr>
      <w:tr>
        <w:tc>
          <w:tcPr>
            <w:tcW w:type="dxa" w:w="4680"/>
          </w:tcPr>
          <w:p>
            <w:r>
              <w:t>LATAM</w:t>
            </w:r>
          </w:p>
        </w:tc>
        <w:tc>
          <w:tcPr>
            <w:tcW w:type="dxa" w:w="4680"/>
          </w:tcPr>
          <w:p>
            <w:r>
              <w:t>1,400</w:t>
            </w:r>
          </w:p>
        </w:tc>
      </w:tr>
      <w:tr>
        <w:tc>
          <w:tcPr>
            <w:tcW w:type="dxa" w:w="4680"/>
          </w:tcPr>
          <w:p>
            <w:r>
              <w:t>Canada</w:t>
            </w:r>
          </w:p>
        </w:tc>
        <w:tc>
          <w:tcPr>
            <w:tcW w:type="dxa" w:w="4680"/>
          </w:tcPr>
          <w:p>
            <w:r>
              <w:t>300</w:t>
            </w:r>
          </w:p>
        </w:tc>
      </w:tr>
      <w:tr>
        <w:tc>
          <w:tcPr>
            <w:tcW w:type="dxa" w:w="4680"/>
          </w:tcPr>
          <w:p>
            <w:r>
              <w:t>Asia RLM</w:t>
            </w:r>
          </w:p>
        </w:tc>
        <w:tc>
          <w:tcPr>
            <w:tcW w:type="dxa" w:w="4680"/>
          </w:tcPr>
          <w:p>
            <w:r>
              <w:t>2,000</w:t>
            </w:r>
          </w:p>
        </w:tc>
      </w:tr>
      <w:tr>
        <w:tc>
          <w:tcPr>
            <w:tcW w:type="dxa" w:w="4680"/>
          </w:tcPr>
          <w:p>
            <w:r>
              <w:t>China RLM</w:t>
            </w:r>
          </w:p>
        </w:tc>
        <w:tc>
          <w:tcPr>
            <w:tcW w:type="dxa" w:w="4680"/>
          </w:tcPr>
          <w:p>
            <w:r>
              <w:t>350</w:t>
            </w:r>
          </w:p>
        </w:tc>
      </w:tr>
    </w:tbl>
    <w:p/>
    <w:tbl>
      <w:tblPr>
        <w:tblStyle w:val="TableGrid"/>
        <w:tblW w:type="auto" w:w="0"/>
        <w:tblLook w:firstColumn="1" w:firstRow="1" w:lastColumn="0" w:lastRow="0" w:noHBand="0" w:noVBand="1" w:val="04A0"/>
      </w:tblPr>
      <w:tblGrid>
        <w:gridCol w:w="4680"/>
        <w:gridCol w:w="4680"/>
      </w:tblGrid>
      <w:tr>
        <w:tc>
          <w:tcPr>
            <w:tcW w:type="dxa" w:w="4680"/>
          </w:tcPr>
          <w:p>
            <w:r>
              <w:rPr>
                <w:b/>
              </w:rPr>
              <w:t>Operating Unit</w:t>
            </w:r>
          </w:p>
        </w:tc>
        <w:tc>
          <w:tcPr>
            <w:tcW w:type="dxa" w:w="4680"/>
          </w:tcPr>
          <w:p>
            <w:r>
              <w:rPr>
                <w:b/>
              </w:rPr>
              <w:t>User Count</w:t>
            </w:r>
          </w:p>
        </w:tc>
      </w:tr>
      <w:tr>
        <w:tc>
          <w:tcPr>
            <w:tcW w:type="dxa" w:w="4680"/>
          </w:tcPr>
          <w:p>
            <w:r>
              <w:t>Neuroscience</w:t>
            </w:r>
          </w:p>
        </w:tc>
        <w:tc>
          <w:tcPr>
            <w:tcW w:type="dxa" w:w="4680"/>
          </w:tcPr>
          <w:p>
            <w:r>
              <w:t>3,600</w:t>
            </w:r>
          </w:p>
        </w:tc>
      </w:tr>
      <w:tr>
        <w:tc>
          <w:tcPr>
            <w:tcW w:type="dxa" w:w="4680"/>
          </w:tcPr>
          <w:p>
            <w:r>
              <w:t>Cardiovascular</w:t>
            </w:r>
          </w:p>
        </w:tc>
        <w:tc>
          <w:tcPr>
            <w:tcW w:type="dxa" w:w="4680"/>
          </w:tcPr>
          <w:p>
            <w:r>
              <w:t>2,500</w:t>
            </w:r>
          </w:p>
        </w:tc>
      </w:tr>
      <w:tr>
        <w:tc>
          <w:tcPr>
            <w:tcW w:type="dxa" w:w="4680"/>
          </w:tcPr>
          <w:p>
            <w:r>
              <w:t>Surgical</w:t>
            </w:r>
          </w:p>
        </w:tc>
        <w:tc>
          <w:tcPr>
            <w:tcW w:type="dxa" w:w="4680"/>
          </w:tcPr>
          <w:p>
            <w:r>
              <w:t>1,100</w:t>
            </w:r>
          </w:p>
        </w:tc>
      </w:tr>
      <w:tr>
        <w:tc>
          <w:tcPr>
            <w:tcW w:type="dxa" w:w="4680"/>
          </w:tcPr>
          <w:p>
            <w:r>
              <w:t>Diabetes</w:t>
            </w:r>
          </w:p>
        </w:tc>
        <w:tc>
          <w:tcPr>
            <w:tcW w:type="dxa" w:w="4680"/>
          </w:tcPr>
          <w:p>
            <w:r>
              <w:t>1,200</w:t>
            </w:r>
          </w:p>
        </w:tc>
      </w:tr>
    </w:tbl>
    <w:p/>
    <w:p>
      <w:pPr>
        <w:pStyle w:val="Heading3"/>
        <w:spacing w:before="240" w:after="120"/>
      </w:pPr>
      <w:r>
        <w:rPr>
          <w:rFonts w:ascii="Calibri" w:hAnsi="Calibri"/>
          <w:b/>
          <w:color w:val="003399"/>
          <w:sz w:val="28"/>
        </w:rPr>
        <w:t>Appendix C: Glossary of Terms</w:t>
      </w:r>
    </w:p>
    <w:tbl>
      <w:tblPr>
        <w:tblStyle w:val="TableGrid"/>
        <w:tblW w:type="auto" w:w="0"/>
        <w:tblLook w:firstColumn="1" w:firstRow="1" w:lastColumn="0" w:lastRow="0" w:noHBand="0" w:noVBand="1" w:val="04A0"/>
      </w:tblPr>
      <w:tblGrid>
        <w:gridCol w:w="4680"/>
        <w:gridCol w:w="4680"/>
      </w:tblGrid>
      <w:tr>
        <w:tc>
          <w:tcPr>
            <w:tcW w:type="dxa" w:w="4680"/>
          </w:tcPr>
          <w:p>
            <w:r>
              <w:rPr>
                <w:b/>
              </w:rPr>
              <w:t>Term</w:t>
            </w:r>
          </w:p>
        </w:tc>
        <w:tc>
          <w:tcPr>
            <w:tcW w:type="dxa" w:w="4680"/>
          </w:tcPr>
          <w:p>
            <w:r>
              <w:rPr>
                <w:b/>
              </w:rPr>
              <w:t>Definition</w:t>
            </w:r>
          </w:p>
        </w:tc>
      </w:tr>
      <w:tr>
        <w:tc>
          <w:tcPr>
            <w:tcW w:type="dxa" w:w="4680"/>
          </w:tcPr>
          <w:p>
            <w:r>
              <w:t>TQM</w:t>
            </w:r>
          </w:p>
        </w:tc>
        <w:tc>
          <w:tcPr>
            <w:tcW w:type="dxa" w:w="4680"/>
          </w:tcPr>
          <w:p>
            <w:r>
              <w:t>Territory Quota Management</w:t>
            </w:r>
          </w:p>
        </w:tc>
      </w:tr>
      <w:tr>
        <w:tc>
          <w:tcPr>
            <w:tcW w:type="dxa" w:w="4680"/>
          </w:tcPr>
          <w:p>
            <w:r>
              <w:t>ICM</w:t>
            </w:r>
          </w:p>
        </w:tc>
        <w:tc>
          <w:tcPr>
            <w:tcW w:type="dxa" w:w="4680"/>
          </w:tcPr>
          <w:p>
            <w:r>
              <w:t>Incentive Compensation Management</w:t>
            </w:r>
          </w:p>
        </w:tc>
      </w:tr>
      <w:tr>
        <w:tc>
          <w:tcPr>
            <w:tcW w:type="dxa" w:w="4680"/>
          </w:tcPr>
          <w:p>
            <w:r>
              <w:t>SPM</w:t>
            </w:r>
          </w:p>
        </w:tc>
        <w:tc>
          <w:tcPr>
            <w:tcW w:type="dxa" w:w="4680"/>
          </w:tcPr>
          <w:p>
            <w:r>
              <w:t>Sales Performance Management</w:t>
            </w:r>
          </w:p>
        </w:tc>
      </w:tr>
      <w:tr>
        <w:tc>
          <w:tcPr>
            <w:tcW w:type="dxa" w:w="4680"/>
          </w:tcPr>
          <w:p>
            <w:r>
              <w:t>GSR</w:t>
            </w:r>
          </w:p>
        </w:tc>
        <w:tc>
          <w:tcPr>
            <w:tcW w:type="dxa" w:w="4680"/>
          </w:tcPr>
          <w:p>
            <w:r>
              <w:t>Global Sales Reporting</w:t>
            </w:r>
          </w:p>
        </w:tc>
      </w:tr>
      <w:tr>
        <w:tc>
          <w:tcPr>
            <w:tcW w:type="dxa" w:w="4680"/>
          </w:tcPr>
          <w:p>
            <w:r>
              <w:t>OCM</w:t>
            </w:r>
          </w:p>
        </w:tc>
        <w:tc>
          <w:tcPr>
            <w:tcW w:type="dxa" w:w="4680"/>
          </w:tcPr>
          <w:p>
            <w:r>
              <w:t>Organizational Change Management</w:t>
            </w:r>
          </w:p>
        </w:tc>
      </w:tr>
      <w:tr>
        <w:tc>
          <w:tcPr>
            <w:tcW w:type="dxa" w:w="4680"/>
          </w:tcPr>
          <w:p>
            <w:r>
              <w:t>Parallel Team</w:t>
            </w:r>
          </w:p>
        </w:tc>
        <w:tc>
          <w:tcPr>
            <w:tcW w:type="dxa" w:w="4680"/>
          </w:tcPr>
          <w:p>
            <w:r>
              <w:t>Secondary sales team that receives credit for sales but may not be the primary team</w:t>
            </w:r>
          </w:p>
        </w:tc>
      </w:tr>
      <w:tr>
        <w:tc>
          <w:tcPr>
            <w:tcW w:type="dxa" w:w="4680"/>
          </w:tcPr>
          <w:p>
            <w:r>
              <w:t>Alignment Rules</w:t>
            </w:r>
          </w:p>
        </w:tc>
        <w:tc>
          <w:tcPr>
            <w:tcW w:type="dxa" w:w="4680"/>
          </w:tcPr>
          <w:p>
            <w:r>
              <w:t>Business rules that determine how customers and sales are assigned to territories</w:t>
            </w:r>
          </w:p>
        </w:tc>
      </w:tr>
      <w:tr>
        <w:tc>
          <w:tcPr>
            <w:tcW w:type="dxa" w:w="4680"/>
          </w:tcPr>
          <w:p>
            <w:r>
              <w:t>Crediting</w:t>
            </w:r>
          </w:p>
        </w:tc>
        <w:tc>
          <w:tcPr>
            <w:tcW w:type="dxa" w:w="4680"/>
          </w:tcPr>
          <w:p>
            <w:r>
              <w:t>The process of assigning sales transaction values to specific sales representatives</w:t>
            </w:r>
          </w:p>
        </w:tc>
      </w:tr>
      <w:tr>
        <w:tc>
          <w:tcPr>
            <w:tcW w:type="dxa" w:w="4680"/>
          </w:tcPr>
          <w:p>
            <w:r>
              <w:t>Split Credit</w:t>
            </w:r>
          </w:p>
        </w:tc>
        <w:tc>
          <w:tcPr>
            <w:tcW w:type="dxa" w:w="4680"/>
          </w:tcPr>
          <w:p>
            <w:r>
              <w:t>When multiple sales representatives receive partial credit for the same transaction</w:t>
            </w:r>
          </w:p>
        </w:tc>
      </w:tr>
      <w:tr>
        <w:tc>
          <w:tcPr>
            <w:tcW w:type="dxa" w:w="4680"/>
          </w:tcPr>
          <w:p>
            <w:r>
              <w:t>Shadow Credit</w:t>
            </w:r>
          </w:p>
        </w:tc>
        <w:tc>
          <w:tcPr>
            <w:tcW w:type="dxa" w:w="4680"/>
          </w:tcPr>
          <w:p>
            <w:r>
              <w:t>Credit given to a sales representative for influence on a sale without being the primary rep</w:t>
            </w:r>
          </w:p>
        </w:tc>
      </w:tr>
      <w:tr>
        <w:tc>
          <w:tcPr>
            <w:tcW w:type="dxa" w:w="4680"/>
          </w:tcPr>
          <w:p>
            <w:r>
              <w:t>Compensation Component</w:t>
            </w:r>
          </w:p>
        </w:tc>
        <w:tc>
          <w:tcPr>
            <w:tcW w:type="dxa" w:w="4680"/>
          </w:tcPr>
          <w:p>
            <w:r>
              <w:t>Building block of an incentive plan (e.g., quota-based commission, bonus, SPIF)</w:t>
            </w:r>
          </w:p>
        </w:tc>
      </w:tr>
      <w:tr>
        <w:tc>
          <w:tcPr>
            <w:tcW w:type="dxa" w:w="4680"/>
          </w:tcPr>
          <w:p>
            <w:r>
              <w:t>Attainment</w:t>
            </w:r>
          </w:p>
        </w:tc>
        <w:tc>
          <w:tcPr>
            <w:tcW w:type="dxa" w:w="4680"/>
          </w:tcPr>
          <w:p>
            <w:r>
              <w:t>Percentage of quota achieved within a specified period</w:t>
            </w:r>
          </w:p>
        </w:tc>
      </w:tr>
      <w:tr>
        <w:tc>
          <w:tcPr>
            <w:tcW w:type="dxa" w:w="4680"/>
          </w:tcPr>
          <w:p>
            <w:r>
              <w:t>Accelerator</w:t>
            </w:r>
          </w:p>
        </w:tc>
        <w:tc>
          <w:tcPr>
            <w:tcW w:type="dxa" w:w="4680"/>
          </w:tcPr>
          <w:p>
            <w:r>
              <w:t>Increased commission rate that applies after reaching certain performance thresholds</w:t>
            </w:r>
          </w:p>
        </w:tc>
      </w:tr>
      <w:tr>
        <w:tc>
          <w:tcPr>
            <w:tcW w:type="dxa" w:w="4680"/>
          </w:tcPr>
          <w:p>
            <w:r>
              <w:t>True-up</w:t>
            </w:r>
          </w:p>
        </w:tc>
        <w:tc>
          <w:tcPr>
            <w:tcW w:type="dxa" w:w="4680"/>
          </w:tcPr>
          <w:p>
            <w:r>
              <w:t>Adjustment made to compensate for prior period corrections or changes</w:t>
            </w:r>
          </w:p>
        </w:tc>
      </w:tr>
      <w:tr>
        <w:tc>
          <w:tcPr>
            <w:tcW w:type="dxa" w:w="4680"/>
          </w:tcPr>
          <w:p>
            <w:r>
              <w:t>Clawback</w:t>
            </w:r>
          </w:p>
        </w:tc>
        <w:tc>
          <w:tcPr>
            <w:tcW w:type="dxa" w:w="4680"/>
          </w:tcPr>
          <w:p>
            <w:r>
              <w:t>Recovery of previously paid compensation due to policy violations or corrections</w:t>
            </w:r>
          </w:p>
        </w:tc>
      </w:tr>
    </w:tbl>
    <w:p/>
    <w:p>
      <w:r>
        <w:t>________________________________________________________________________________</w:t>
      </w:r>
    </w:p>
    <w:p>
      <w:r>
        <w:rPr>
          <w:rFonts w:ascii="Calibri" w:hAnsi="Calibri"/>
          <w:i/>
          <w:sz w:val="22"/>
        </w:rPr>
        <w:t>End of Document</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sz w:val="18"/>
      </w:rPr>
      <w:t>March 28, 2025</w:t>
    </w:r>
    <w:r>
      <w:t xml:space="preserve">      Page </w:t>
    </w:r>
    <w:r>
      <w:rPr>
        <w:rFonts w:ascii="Calibri" w:hAnsi="Calibri"/>
        <w:sz w:val="18"/>
      </w:rPr>
      <w:fldChar w:fldCharType="begin"/>
      <w:instrText xml:space="preserve">PAGE</w:instrText>
      <w:fldChar w:fldCharType="end"/>
    </w:r>
    <w:r>
      <w:t xml:space="preserve"> of </w:t>
    </w:r>
    <w:r>
      <w:rPr>
        <w:rFonts w:ascii="Calibri" w:hAnsi="Calibri"/>
        <w:sz w:val="18"/>
      </w:rP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Calibri" w:hAnsi="Calibri"/>
        <w:b/>
        <w:sz w:val="20"/>
      </w:rPr>
      <w:t>Medtronic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 Solution Design Document</dc:title>
  <dc:subject/>
  <dc:creator>Your Name</dc:creator>
  <cp:keywords/>
  <dc:description>generated by python-docx</dc:description>
  <cp:lastModifiedBy/>
  <cp:revision>1</cp:revision>
  <dcterms:created xsi:type="dcterms:W3CDTF">2013-12-23T23:15:00Z</dcterms:created>
  <dcterms:modified xsi:type="dcterms:W3CDTF">2013-12-23T23:15:00Z</dcterms:modified>
  <cp:category/>
</cp:coreProperties>
</file>