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  <w:sz w:val="84"/>
          <w:szCs w:val="8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8"/>
          <w:szCs w:val="6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rightMargin">
              <wp:posOffset>408305</wp:posOffset>
            </wp:positionH>
            <wp:positionV relativeFrom="page">
              <wp:posOffset>1124585</wp:posOffset>
            </wp:positionV>
            <wp:extent cx="774700" cy="80772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4700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ПРОТОКОЛ ОБСТЕЖЕННЯ (ПРОВЕДЕННЯ ІНТЕРВ’Ю) </w:t>
      </w: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Сесія обстеження №2, SUPPLYCHAINS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left</wp:align>
            </wp:positionH>
            <wp:positionV relativeFrom="page">
              <wp:posOffset>2727960</wp:posOffset>
            </wp:positionV>
            <wp:extent cx="8841105" cy="5894070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1105" cy="5894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page">
              <wp:posOffset>7386319</wp:posOffset>
            </wp:positionV>
            <wp:extent cx="3168650" cy="283210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83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-2428239</wp:posOffset>
            </wp:positionH>
            <wp:positionV relativeFrom="paragraph">
              <wp:posOffset>260984</wp:posOffset>
            </wp:positionV>
            <wp:extent cx="5760720" cy="68961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32"/>
          <w:szCs w:val="32"/>
          <w:rtl w:val="0"/>
        </w:rPr>
        <w:t xml:space="preserve">+38 (073) 871 53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ffffff"/>
            <w:sz w:val="32"/>
            <w:szCs w:val="32"/>
            <w:rtl w:val="0"/>
          </w:rPr>
          <w:t xml:space="preserve">sale@todo.ltd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ffffff"/>
            <w:sz w:val="32"/>
            <w:szCs w:val="32"/>
            <w:u w:val="single"/>
            <w:rtl w:val="0"/>
          </w:rPr>
          <w:t xml:space="preserve">www.todo.ltd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sz w:val="84"/>
          <w:szCs w:val="8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2308860</wp:posOffset>
            </wp:positionH>
            <wp:positionV relativeFrom="page">
              <wp:posOffset>8737600</wp:posOffset>
            </wp:positionV>
            <wp:extent cx="859790" cy="139065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1390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3497d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1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05423"/>
          <w:sz w:val="28"/>
          <w:szCs w:val="28"/>
          <w:rtl w:val="0"/>
        </w:rPr>
        <w:t xml:space="preserve">до Договору № ‹заповнити: № договору› від ‹заповнити: дату›</w:t>
      </w:r>
      <w:r w:rsidDel="00000000" w:rsidR="00000000" w:rsidRPr="00000000">
        <w:rPr>
          <w:rtl w:val="0"/>
        </w:rPr>
      </w:r>
    </w:p>
    <w:tbl>
      <w:tblPr>
        <w:tblStyle w:val="Table1"/>
        <w:tblW w:w="9061.0" w:type="dxa"/>
        <w:jc w:val="left"/>
        <w:tblInd w:w="13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514"/>
        <w:tblGridChange w:id="0">
          <w:tblGrid>
            <w:gridCol w:w="2547"/>
            <w:gridCol w:w="651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70c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11.06.2026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Місце проведення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70c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онлайн (відеозустріч із записом)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Статусна зустріч та збір вимог (облікова сесія)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Мета зустрічі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узгодити порядок опрацювання проєктної документації та зафіксувати облікові вимоги — облікову модель агентської закупівлі, розрахунки з постачальниками, валютні операції, банківські й касові операції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Документ створив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Тимур Ніжніковський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Учасники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ПІБ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Організація/Підрозділ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Станіслав Редька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SUPPLYCHAINS LIMITED, власник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Тимур Ніжніковський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ToDo, керівник проєкту / бізнес-аналітик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Юрій Львов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ToDo, координація проєкту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ПОРЯДОК ДЕННИЙ:</w:t>
      </w:r>
    </w:p>
    <w:tbl>
      <w:tblPr>
        <w:tblStyle w:val="Table2"/>
        <w:tblW w:w="9540.0" w:type="dxa"/>
        <w:jc w:val="left"/>
        <w:tblInd w:w="13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600"/>
      </w:tblPr>
      <w:tblGrid>
        <w:gridCol w:w="825"/>
        <w:gridCol w:w="6720"/>
        <w:gridCol w:w="1995"/>
        <w:tblGridChange w:id="0">
          <w:tblGrid>
            <w:gridCol w:w="825"/>
            <w:gridCol w:w="6720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Питання для обговорення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Обговорювали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1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Огляд проєктної документації та розмітка полів документів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План рахунків (бухгалтерський облік Гонконгу)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Агентська закупівля: облікова модель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Хронологія платежів та конвертація валют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5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Розрахунки з постачальниками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6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Перевиставлення наскрізних витрат клієнту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7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Банківські та касові операції, рухи коштів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8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Довідники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9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Перелік файлів та документів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10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Відкриті питання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РЕЗУЛЬТАТИ ІНТЕРВ’Ю: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1. Огляд проєктної документації та розмітка полів документів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Поточний стан (AS-IS): </w:t>
      </w:r>
      <w:r>
        <w:t xml:space="preserve">структуру проєктної документації розгорнуто у спільній папці. Файл «план-інтерв'ю» містить перелік запланованих зустрічей і протоколи по них. Файл переліку документів містить розбір отриманих зразків на поля (по авіаційних і морських документах) з окремою колонкою «Використовуємо».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Домовленості (TO-BE): 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Замовник переглядає протоколи попередніх зустрічей і підтверджує їх коректність.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Замовник у файлі переліку документів проставляє позначки «Використовуємо» для полів авіаційних і морських документів — щоб визначити, які поля потрібні в системі.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Виконавець опрацьовує надану інформацію поза зустрічами; можливі корективи Виконавець бере під свою відповідальність, щоб не затримувати роботу.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Документи каси та розрахункового рахунку Виконавець додасть до того самого файлу переліку документів.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2. План рахунків (бухгалтерський облік Гонконгу)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Поточний стан (AS-IS): </w:t>
      </w:r>
      <w:r>
        <w:t xml:space="preserve">Виконавець вивантажив стандартний план рахунків Гонконгу з Odoo. Бухгалтерський облік ведуть зовнішні аудитори; вони працюють із даними у форматі електронних таблиць.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Вимоги (TO-BE): 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На старті використовується стандартний план рахунків Odoo без кастомізації. Діяльність Замовника проста й не потребує спеціальної структури рахунків.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Аудитори мають бачити звичну, незмінену структуру; додаткові пояснення щодо кастомізації не потрібні.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Звірка коректності обліку виконується за фактом передачі даних аудиторам; за потреби виправлення вносяться на їхньому боці.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Окремий документ звірки плану рахунків виключено зі складу обстеження.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3. Агентська закупівля: облікова модель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Вимоги (TO-BE): </w:t>
      </w:r>
      <w:r>
        <w:t xml:space="preserve">облікова модель агентської закупівлі — купівля-продаж. У договорах і первинних документах операція оформлюється як купівля-продаж товару. Узгоджена винагорода Замовника є окремою домовленістю з покупцем і в обліку окремим рядком не виділяється.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Порядок руху коштів у такій операції зафіксовано на попередній зустрічі: клієнт переказує кошти, Замовник за потреби конвертує валюту й оплачує постачальника, товар прямує безпосередньо до клієнта.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4. Хронологія платежів та конвертація валют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Вимоги (TO-BE): 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Клієнт переказує кошти раніше, ніж Замовник оплачує постачальника (фабрику). Авансування постачальника власними коштами — рідкісний виняток для перевірених довготривалих партнерів; такі платежі підтверджує особисто власник.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Статуси підтвердження платежів і окремі заявки на платіж у системі не ведуться.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Основна валюта обліку — долар США (близько 85% розрахунків). За операцій з конвертацією (наприклад, оплата постачальнику в іншій валюті) курс беруть на дату створення документа.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Курси валют завантажуються автоматично раз на день із міжнародно визнаного джерела; такої періодичності достатньо. Конвертація оформлюється окремим документом.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5. Розрахунки з постачальниками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Поточний стан (AS-IS) і вимоги (TO-BE): 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Кожна операція обліковується окремо. Якщо постачальник виставляє зведений рахунок за кількома операціями, його вносять окремими вхідними рахунками за рядками. Деталізація за операціями присутня завжди.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Борг перед постачальниками відстежується звітом «кому й коли потрібно платити» (на наступний тиждень або місяць); окремий платіжний календар не потрібен.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Строк оплати (відстрочка) різниться за контрагентами і навіть за окремими документами: за замовчуванням підставляється з картки контрагента, але може бути змінений у самому рахунку.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Витрати, рахунок за якими ще не надійшов, плануються заздалегідь (плановою сумою з позначкою), а згодом замінюються фактичними.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Окремі погодження платежів постачальникам не застосовуються, окрім особистого підтвердження авансів власником.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6. Перевиставлення наскрізних витрат клієнту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Вимоги (TO-BE): </w:t>
      </w:r>
      <w:r>
        <w:t xml:space="preserve">наскрізні витрати перевиставляються клієнту без виділення націнки окремим рядком; у документі для клієнта націнка окремо не відображається.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7. Банківські та касові операції, рухи коштів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Поточний стан (AS-IS) і вимоги (TO-BE): 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Рухи коштів обмежуються оплатами і конвертаціями, а також внесенням і зняттям готівки; інших типів рухів немає.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Завантаження банківських виписок виконується вручну. Можливість імпорту виписки файлом (CSV або Excel) розглядається як опція на майбутнє.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8. Довідники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Вимоги (TO-BE): </w:t>
      </w:r>
      <w:r>
        <w:t xml:space="preserve">до переліку довідників додаються коди класифікації товарів (WCO), авіакомпанії та довідник банківських рахунків Замовника (близько 5–8 рахунків). Виконавець надішле перелік потрібних довідників після повернення Замовника з поїздки, щоб не перевантажувати підготовку.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9. Перелік файлів та документів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Робота ведеться у спільній папці на Google Drive: файл «план-інтерв'ю» (перелік зустрічей і протоколи) та файл переліку документів із розбором полів по авіаційних і морських документах. Документи каси й розрахункового рахунку Виконавець додасть до файлу переліку документів.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10. Відкриті питання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1. Обов'язкові поля картки контрагента — Відповідальний: Станіслав Редька — До: наступна зустріч.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2. Розмежування облікових контурів (бухгалтерський і управлінський облік) та процедура закриття періоду — потребують участі бухгалтера/аудитора — Відповідальний: Станіслав Редька спільно з Виконавцем — До: у межах обстеження.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3. Формат і періодичність вивантаження даних для аудиторів — Відповідальний: Станіслав Редька спільно з Виконавцем — До: у межах обстеження.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Наступна зустріч: ‹уточнюється› — дату узгоджує Виконавець через робочу групу (орієнтовно наступного тижня).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ВИРІШИЛИ:</w:t>
      </w:r>
      <w:r w:rsidDel="00000000" w:rsidR="00000000" w:rsidRPr="00000000">
        <w:rPr>
          <w:rtl w:val="0"/>
        </w:rPr>
      </w:r>
    </w:p>
    <w:tbl>
      <w:tblPr>
        <w:tblStyle w:val="Table3"/>
        <w:tblW w:w="9526.0" w:type="dxa"/>
        <w:jc w:val="left"/>
        <w:tblInd w:w="13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600"/>
      </w:tblPr>
      <w:tblGrid>
        <w:gridCol w:w="709"/>
        <w:gridCol w:w="5245"/>
        <w:gridCol w:w="1275"/>
        <w:gridCol w:w="2297"/>
        <w:tblGridChange w:id="0">
          <w:tblGrid>
            <w:gridCol w:w="709"/>
            <w:gridCol w:w="5245"/>
            <w:gridCol w:w="1275"/>
            <w:gridCol w:w="229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Рішення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Термін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Відповідальний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40" w:lineRule="auto"/>
              <w:ind w:left="448" w:right="26" w:hanging="273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1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Замовник переглядає протоколи попередніх зустрічей і підтверджує їх коректність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до 19.06.2026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Станіслав Редька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40" w:lineRule="auto"/>
              <w:ind w:left="448" w:right="26" w:hanging="273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Замовник проставляє позначки «Використовуємо» для полів авіаційних і морських документів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до 19.06.2026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Станіслав Редька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40" w:lineRule="auto"/>
              <w:ind w:left="448" w:right="26" w:hanging="273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На старті використовується стандартний план рахунків Odoo без кастомізації; окремий документ звірки плану рахунків виключено зі складу обстеження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узгоджено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Замовник + Виконавець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40" w:lineRule="auto"/>
              <w:ind w:left="448" w:right="26" w:hanging="273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Облікову модель агентської закупівлі зафіксовано як купівлю-продаж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узгоджено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Замовник + Виконавець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40" w:lineRule="auto"/>
              <w:ind w:left="448" w:right="26" w:hanging="273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5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Курс валюти фіксується на дату створення документа; курси завантажуються автоматично раз на день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узгоджено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Замовник + Виконавець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40" w:lineRule="auto"/>
              <w:ind w:left="448" w:right="26" w:hanging="273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6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Виконавець надсилає Замовнику перелік потрібних довідників (коди WCO, авіакомпанії, банківські рахунки)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після повернення Замовника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Тимур Ніжніковський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40" w:lineRule="auto"/>
              <w:ind w:left="448" w:right="26" w:hanging="273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7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Узгодити дату наступної зустрічі через робочу групу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до 18.06.2026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Юрій Львов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ПОГОДЖЕННЯ</w:t>
      </w:r>
      <w:r w:rsidDel="00000000" w:rsidR="00000000" w:rsidRPr="00000000">
        <w:rPr>
          <w:rtl w:val="0"/>
        </w:rPr>
      </w:r>
    </w:p>
    <w:tbl>
      <w:tblPr>
        <w:tblStyle w:val="Table4"/>
        <w:tblW w:w="9061.0" w:type="dxa"/>
        <w:jc w:val="left"/>
        <w:tblInd w:w="13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514"/>
        <w:tblGridChange w:id="0">
          <w:tblGrid>
            <w:gridCol w:w="2547"/>
            <w:gridCol w:w="651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Відповідальний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Погоджено/Зауваження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Станіслав Редька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pageBreakBefore w:val="1"/>
        <w:widowControl w:val="0"/>
        <w:pBdr>
          <w:bottom w:color="595959" w:space="1" w:sz="4" w:val="single"/>
        </w:pBdr>
        <w:spacing w:after="60" w:line="276" w:lineRule="auto"/>
        <w:ind w:left="4536" w:firstLine="0"/>
        <w:jc w:val="right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  <w:rtl w:val="0"/>
        </w:rPr>
        <w:t xml:space="preserve">ДОДАТОК 1 «Опис бізнес-процесу, процесу, підпроцесу, функції, які підлягають автоматизації»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8"/>
          <w:szCs w:val="28"/>
        </w:rPr>
        <w:drawing>
          <wp:inline distB="0" distT="0" distL="0" distR="0">
            <wp:extent cx="320040" cy="320040"/>
            <wp:effectExtent b="0" l="0" r="0" t="0"/>
            <wp:docPr descr="Документ" id="7" name="image7.png"/>
            <a:graphic>
              <a:graphicData uri="http://schemas.openxmlformats.org/drawingml/2006/picture">
                <pic:pic>
                  <pic:nvPicPr>
                    <pic:cNvPr descr="Документ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Опис може бути представлено: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форматі текстового опису;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табличному форматі;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формі схеми, з обов'язковими текстовими уточненнями по порядку, умов і особливостей виконання кожного кроку бізнес-процесу, процесу, підпроцесу, функції.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Формат опису повинен бути узгоджений з Замовником з метою спрощення процедури узгодження документа.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Наприклад: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line="276" w:lineRule="auto"/>
        <w:ind w:left="644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Вільний текстовий /таблиця/схематичний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опис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послідовності кроків у процесі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ведення бізнесу, процесі, субпроцесі, функції.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Кроки;  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Відповідальні;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Порядок, умови та особливості кожного кроку автоматизованого бізнес-процесу;  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Друковані та звітні форми, сформовані та/або застосовані під час виконання бізнес-процесу;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Використання існуючих IС;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Плани, думки, очікування щодо використання ПЗ;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Інша уточнююче інформація, отримана від Замовника.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line="276" w:lineRule="auto"/>
        <w:ind w:left="644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Текстовий опис бізнес-процесу, процесу, субпроцесу, функції в контексті вимог, закріплених у Технічному завданні, додатку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до Договору.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Зафіксуйте: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Вимоги;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Опис бізнес-процесу, процесу, функції із зазначенням кроків, відповідальних за виконання кроків, порядку, умов і особливостей виконання кожного кроку, друкованих та звітних форм, використання існуючих і створюваних ІС і пр..  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line="276" w:lineRule="auto"/>
        <w:ind w:left="644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Питання-відповідь по бізнес-процесам, які підлягають автоматизації.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Зафіксуйте: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Питання, що задаються Виконавцем Замовнику;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Відповіді Замовника.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Окремо рекомендується фіксувати: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• Вимоги щодо інтеграції створюваної ІС з існуючими ІС замовника, механізмах інтеграції, обсягах даних до обміну і власників даних;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• Вимоги щодо міграції даних, механізми міграції, джерелах і власників даних до міграції;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• Вимоги до розмежування доступу до об'єктів і даними ІС;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• Інше.</w:t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8" w:w="11906" w:orient="portrait"/>
      <w:pgMar w:bottom="850" w:top="850" w:left="1418" w:right="1416" w:header="283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592.0" w:type="dxa"/>
      <w:jc w:val="left"/>
      <w:tblInd w:w="-28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16"/>
      <w:gridCol w:w="7776"/>
      <w:tblGridChange w:id="0">
        <w:tblGrid>
          <w:gridCol w:w="2816"/>
          <w:gridCol w:w="7776"/>
        </w:tblGrid>
      </w:tblGridChange>
    </w:tblGrid>
    <w:tr>
      <w:trPr>
        <w:cantSplit w:val="0"/>
        <w:trHeight w:val="286" w:hRule="atLeast"/>
        <w:tblHeader w:val="0"/>
      </w:trPr>
      <w:tc>
        <w:tcPr/>
        <w:p w:rsidR="00000000" w:rsidDel="00000000" w:rsidP="00000000" w:rsidRDefault="00000000" w:rsidRPr="00000000" w14:paraId="0000009D">
          <w:pPr>
            <w:spacing w:line="276" w:lineRule="auto"/>
            <w:ind w:right="-113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bfbfbf"/>
              <w:sz w:val="18"/>
              <w:szCs w:val="18"/>
              <w:rtl w:val="0"/>
            </w:rPr>
            <w:t xml:space="preserve">ToDo: </w:t>
          </w:r>
          <w:r w:rsidDel="00000000" w:rsidR="00000000" w:rsidRPr="00000000">
            <w:rPr>
              <w:rFonts w:ascii="Open Sans" w:cs="Open Sans" w:eastAsia="Open Sans" w:hAnsi="Open Sans"/>
              <w:color w:val="bfbfbf"/>
              <w:sz w:val="18"/>
              <w:szCs w:val="18"/>
              <w:rtl w:val="0"/>
            </w:rPr>
            <w:t xml:space="preserve">Too easy do simple</w:t>
          </w:r>
        </w:p>
      </w:tc>
      <w:tc>
        <w:tcPr/>
        <w:p w:rsidR="00000000" w:rsidDel="00000000" w:rsidP="00000000" w:rsidRDefault="00000000" w:rsidRPr="00000000" w14:paraId="0000009E">
          <w:pPr>
            <w:spacing w:line="276" w:lineRule="auto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3067200" y="3772800"/>
                              <a:ext cx="4557600" cy="14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67125" cy="239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6160770</wp:posOffset>
          </wp:positionH>
          <wp:positionV relativeFrom="paragraph">
            <wp:posOffset>-1430019</wp:posOffset>
          </wp:positionV>
          <wp:extent cx="774700" cy="80772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63611" y="3533621"/>
                        <a:ext cx="7764779" cy="492759"/>
                      </a:xfrm>
                      <a:prstGeom prst="rect">
                        <a:avLst/>
                      </a:prstGeom>
                      <a:solidFill>
                        <a:srgbClr val="F7F6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4304" cy="50228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  <w:sz w:val="28"/>
        <w:szCs w:val="28"/>
        <w:highlight w:val="yellow"/>
      </w:rPr>
    </w:pPr>
    <w:r w:rsidDel="00000000" w:rsidR="00000000" w:rsidRPr="00000000">
      <w:rPr>
        <w:rtl w:val="0"/>
      </w:rPr>
    </w:r>
  </w:p>
  <w:tbl>
    <w:tblPr>
      <w:tblStyle w:val="Table5"/>
      <w:tblW w:w="9924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194"/>
      <w:gridCol w:w="4730"/>
      <w:tblGridChange w:id="0">
        <w:tblGrid>
          <w:gridCol w:w="5194"/>
          <w:gridCol w:w="4730"/>
        </w:tblGrid>
      </w:tblGridChange>
    </w:tblGrid>
    <w:tr>
      <w:trPr>
        <w:cantSplit w:val="0"/>
        <w:trHeight w:val="1087" w:hRule="atLeast"/>
        <w:tblHeader w:val="0"/>
      </w:trPr>
      <w:tc>
        <w:tcPr/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-251" w:right="0" w:firstLine="142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306705</wp:posOffset>
                </wp:positionH>
                <wp:positionV relativeFrom="paragraph">
                  <wp:posOffset>173355</wp:posOffset>
                </wp:positionV>
                <wp:extent cx="1871450" cy="732306"/>
                <wp:effectExtent b="0" l="0" r="0" t="0"/>
                <wp:wrapNone/>
                <wp:docPr id="1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450" cy="7323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м. Київ, просп. Соборності 7А, оф. 105</w:t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+38 (073) 871 53 13</w:t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sale@todo.ltd</w:t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www.todo.ltd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-957579</wp:posOffset>
          </wp:positionV>
          <wp:extent cx="774700" cy="807720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todo.ltd" TargetMode="External"/><Relationship Id="rId10" Type="http://schemas.openxmlformats.org/officeDocument/2006/relationships/hyperlink" Target="mailto:sale@todo.ltd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