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Times New Roman" w:cs="Times New Roman" w:eastAsia="Times New Roman" w:hAnsi="Times New Roman"/>
          <w:b w:val="1"/>
          <w:bCs w:val="1"/>
          <w:sz w:val="84"/>
          <w:szCs w:val="84"/>
        </w:rPr>
      </w:pP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 </w:t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rightMargin">
              <wp:posOffset>408305</wp:posOffset>
            </wp:positionH>
            <wp:positionV relativeFrom="page">
              <wp:posOffset>1124585</wp:posOffset>
            </wp:positionV>
            <wp:extent cx="774700" cy="807720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774700" cy="8077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Fonts w:ascii="Times New Roman" w:cs="Times New Roman" w:eastAsia="Times New Roman" w:hAnsi="Times New Roman"/>
          <w:b w:val="1"/>
          <w:bCs w:val="1"/>
          <w:sz w:val="68"/>
          <w:szCs w:val="68"/>
          <w:rtl w:val="0"/>
        </w:rPr>
        <w:t xml:space="preserve">ОПИТУВАЛЬНИК СЕСІЇ 2 (ОБЛІКОВА) </w:t>
      </w:r>
      <w:r>
        <w:rPr>
          <w:rFonts w:ascii="Times New Roman" w:cs="Times New Roman" w:eastAsia="Times New Roman" w:hAnsi="Times New Roman"/>
          <w:sz w:val="52"/>
          <w:szCs w:val="52"/>
          <w:rtl w:val="0"/>
        </w:rPr>
        <w:t>Впровадження Odoo 19 — SUPPLYCHAINS LIMITED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812"/>
        </w:tabs>
        <w:spacing w:after="0" w:line="240" w:lineRule="auto"/>
        <w:rPr/>
      </w:pPr>
      <w:r>
        <w:rPr/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align>left</wp:align>
            </wp:positionH>
            <wp:positionV relativeFrom="page">
              <wp:posOffset>2727960</wp:posOffset>
            </wp:positionV>
            <wp:extent cx="8841105" cy="5894070"/>
            <wp:effectExtent b="0" l="0" r="0" t="0"/>
            <wp:wrapNone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41105" cy="589407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09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5812"/>
        </w:tabs>
        <w:spacing w:after="0" w:line="24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page">
              <wp:posOffset>7386319</wp:posOffset>
            </wp:positionV>
            <wp:extent cx="3168650" cy="283210"/>
            <wp:effectExtent b="0" l="0" r="0" t="0"/>
            <wp:wrapNone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832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5812"/>
        </w:tabs>
        <w:spacing w:after="0" w:line="240" w:lineRule="auto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bookmarkStart w:colFirst="0" w:colLast="0" w:name="_gjdgxs" w:id="0"/>
      <w:bookmarkEnd w:id="0"/>
      <w:r>
        <w:rPr>
          <w:rtl w:val="0"/>
        </w:rPr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-2428239</wp:posOffset>
            </wp:positionH>
            <wp:positionV relativeFrom="paragraph">
              <wp:posOffset>260984</wp:posOffset>
            </wp:positionV>
            <wp:extent cx="5760720" cy="689610"/>
            <wp:effectExtent b="0" l="0" r="0" t="0"/>
            <wp:wrapNone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E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28"/>
          <w:szCs w:val="28"/>
        </w:rPr>
      </w:pPr>
      <w:r>
        <w:rPr>
          <w:rFonts w:ascii="Times New Roman" w:cs="Times New Roman" w:eastAsia="Times New Roman" w:hAnsi="Times New Roman"/>
          <w:color w:val="ffffff"/>
          <w:sz w:val="32"/>
          <w:szCs w:val="32"/>
          <w:rtl w:val="0"/>
        </w:rPr>
        <w:t xml:space="preserve">+38 (073) 871 53 13</w:t>
      </w:r>
      <w:r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0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rtl w:val="0"/>
          </w:rPr>
          <w:t xml:space="preserve">sale@todo.ltd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5812"/>
        </w:tabs>
        <w:spacing w:after="0" w:line="240" w:lineRule="auto"/>
        <w:jc w:val="right"/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hyperlink r:id="rId11">
        <w:r>
          <w:rPr>
            <w:rFonts w:ascii="Times New Roman" w:cs="Times New Roman" w:eastAsia="Times New Roman" w:hAnsi="Times New Roman"/>
            <w:color w:val="ffffff"/>
            <w:sz w:val="32"/>
            <w:szCs w:val="32"/>
            <w:u w:val="single"/>
            <w:rtl w:val="0"/>
          </w:rPr>
          <w:t xml:space="preserve">www.todo.ltd</w:t>
        </w:r>
      </w:hyperlink>
      <w:r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color w:val="ffffff"/>
          <w:sz w:val="32"/>
          <w:szCs w:val="32"/>
        </w:rPr>
      </w:pPr>
      <w:r>
        <w:rPr>
          <w:b w:val="1"/>
          <w:bCs w:val="1"/>
          <w:sz w:val="84"/>
          <w:szCs w:val="84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2308860</wp:posOffset>
            </wp:positionH>
            <wp:positionV relativeFrom="page">
              <wp:posOffset>8737600</wp:posOffset>
            </wp:positionV>
            <wp:extent cx="859790" cy="1390650"/>
            <wp:effectExtent b="0" l="0" r="0" t="0"/>
            <wp:wrapNone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59790" cy="1390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3497db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spacing w:line="312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rPr>
          <w:rFonts w:ascii="Times New Roman" w:cs="Times New Roman" w:eastAsia="Times New Roman" w:hAnsi="Times New Roman"/>
          <w:b w:val="1"/>
          <w:bCs w:val="1"/>
          <w:color w:val="f05423"/>
          <w:sz w:val="28"/>
          <w:szCs w:val="28"/>
          <w:rtl w:val="0"/>
        </w:rPr>
        <w:t>SUPPLYCHAINS LIMITED</w:t>
      </w:r>
      <w:r>
        <w:rPr>
          <w:rtl w:val="0"/>
        </w:rPr>
      </w:r>
    </w:p>
    <w:p>
      <w:pPr>
        <w:spacing w:before="0" w:after="14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Питання до сесії 2 (облікова): агентська закупівля + AP + бухоблік Гонконгу + банк/каса — SUPPLYCHAINS LIMITED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Дата підготовки: 09.06.2026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Сесія: 2 з 5 (план v1.1) · 11.06.2026, 16:00 за Києвом · учасники за планом: Станіслав (власник) + </w:t>
      </w: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бухгалтер/аудитор (обов'язково)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; від ToDo — BA (+ архітектор бажано)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Складено на основі: план дискавері v1.1 / журнал станом на 09.06.2026 / 2 протоколи (УЗ + сесія 1) + крос-перевірка з базою знань ToDo (10.06.2026)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Призначення: тільки команда — робочий документ BA на зустрічі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Як користуватись: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питай у порядку пріоритету, починаючи з перенесеного. Якщо клієнт відповідає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коротко або мовчить — іди по навідних під питанням. Фіксуй відповіді прямо в полях. Після зустрічі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заповнений файл — вхід для аналізу і наступної ітерації журналу.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Контекст циклу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Друга сесія циклу — об'єднана облікова (план v1.1).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Поєднує колишні Сесії 2 (агентська закупівля + AP) і 3 (бухоблік Гонконгу) + банківсько-касовий контур.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Агентську закупівлю на С1 вже описано на рівні процесу — цю сесію присвячено обліковій трактовці, а не повторній розвідці схеми.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Тому потрібен бухгалтер.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Закрито раніше (</w:t>
      </w:r>
      <w:r>
        <w:rPr>
          <w:rFonts w:ascii="Times New Roman" w:cs="Times New Roman" w:eastAsia="Times New Roman" w:hAnsi="Times New Roman"/>
          <w:b/>
          <w:bCs/>
          <w:color w:val="2E8B57"/>
          <w:sz w:val="22"/>
          <w:szCs w:val="22"/>
        </w:rPr>
        <w:t xml:space="preserve">✓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наскрізний обліковий шлях відправки + транспортні документи (С1).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Рамку отримано на С1 (НЕ перепитувати процес):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агентська закупівля — клієнт платить USD → конвертація → платіж фабриці → комісія/націнка; товар напряму клієнту повз склад; у документах — інвойси. Станіслав сам назвав дві можливі облікові моделі (наценка-партія vs комісія-транзит) — вибір лишився відкритим.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Перенесено в цю сесію: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Q-1 (агентська закупівля — звужено до облікової розвилки).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Виключено зі scope (НЕ питати):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X-3 банк-інтеграції · X-8 штрафні санкції · X-11 керування ставками · X-15 payroll у системі · X-17 облік курсових різниць (на С1 підтверджено, що не ведеться).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Ключові рішення по темі (не перепитувати, лише поглиблювати):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D-6 система виключно облікова · D-11 окремі документи оплат, M:N, прив'язка за № транспортного документа · D-12 конвертація валюти окремим документом, база USD · D-14 єдиний довідник контрагентів.</w:t>
      </w: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Інвентаризація вхідних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00"/>
        <w:gridCol w:w="1800"/>
        <w:gridCol w:w="3872"/>
      </w:tblGrid>
      <w:tr>
        <w:tc>
          <w:tcPr>
            <w:tcW w:w="34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Файл</w:t>
            </w:r>
          </w:p>
        </w:tc>
        <w:tc>
          <w:tcPr>
            <w:tcW w:w="18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w="3872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Що дає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план_дискавері_SUPPLYCHAINS LIMITED.md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v1.1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є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ціль об'єднаної сесії, ризик «податково чутлива зона», R-1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журнал_дискавері_SUPPLYCHAINS LIMITED.md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оновлено (09.06.2026)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стан циклу після С1, структура v1.1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протоколи попередніх зустрічей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 шт. (УЗ 03.06 + сесія 1 09.06)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рішення D-1…D-14, виключення X-1…X-18</w:t>
            </w:r>
          </w:p>
        </w:tc>
      </w:tr>
    </w:tbl>
    <w:p>
      <w:pPr>
        <w:spacing w:after="40"/>
      </w:pP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0. Перенесене з сесії 1 (першим!)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[Питання передусім бухгалтеру] На С1 ви назвали дві моделі агентської закупівлі. Яка з них облікова істина: (а) виручка по повній угоді — купівля-продаж із націнкою, чи (б) лише ваша винагорода як виручка, а кошти клієнта — транзит (зобов'язання), не ваш оборот?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визначає оборот, визнання виручки, проводки і податок — головне рішення сесії; вхід у структуру бухобліку (нижче).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 проводите таку угоду в 1С зараз — як продаж товару чи як послугу/комісію?» → «Чи стоїть цей товар колись на вашому балансі?» → «Що по цій операції потрапляє в оборот для аудитора — повна сума чи лише ваша винагорода?»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1. Агентська закупівля — уточнення (схему отримано на С1)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Хронологія платежів: клієнт завжди переказує кошти раніше, ніж ви платите фабриці, чи буває, що авансуєте фабрику зі своїх? Як обліковувати розрив у часі?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потреба в обліку авансів/зобов'язань і черговість проводок.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«Бувало, що заплатили фабриці до надходження коштів клієнта?» → «Передоплата, депозит — що реально використовуєте?»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На якому моменті фіксуєте курс і чий це курс при конвертації коштів клієнта (в межах D-12 — окремий документ конвертації)?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правило операційної конвертації (не облік курсових різниць — X-17).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«Покажіть розрахунок суми по останній агентській угоді: з якої суми в юанях вийшла сума в доларах» → «Курс банку на день платежу чи фіксований у домовленості з клієнтом?»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 Розрахунки з постачальниками (AP) — поглиблення С1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До однієї відправки — кілька вхідних рахунків. Прив'язка за номером транспортного документа вже відома (С1) — а як зіставляєте конкретний рядок рахунку з послугою у відправці? Бувають дублі або переплати?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точність рознесення витрат на відправку — основа розрахунку прибутковості (С5).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«Візьмімо останній рахунок від агента: як зрозуміли, які рядки до якої відправки?» → «Один рахунок покриває кілька відправок — як ділите?» → «Як ловите подвійний рахунок або завищену суму?»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Перевиставлення наскрізних витрат клієнту з націнкою: окремим рядком чи всередині загальної суми? Клієнт бачить вашу націнку?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облікова механіка перевиставлення (узгодити з AR — 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«Покажіть рахунок клієнту з перевиставленими витратами» → «Фрахт і ваша обробка — одним рядком чи окремо?» → «Бувають витрати, що перевиставляєте без націнки?»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Часткові оплати агентам (С1 — «частково або повністю»): як відстежуєте борг по кожному агенту і строки?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вимоги до AP-обліку заборгованості.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«Де бачите зараз, скільки винні конкретному агенту?» → «Строк оплати фіксований у рахунку чи домовляєтесь окремо?»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Витрати, рахунок по яких ще не надійшов на момент роботи з відправкою (accrued): фіксуєте планову суму до приходу рахунку, а потім факт?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момент, коли маржа стає «фактичною» (зв'язок із С5).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«Закрили відправку, а рахунок агента прийшов пізніше — що з маржею?» → «Ставите очікувану суму заздалегідь чи лише за фактом?»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Хто погоджує платіж постачальнику/агенту перед банком? Є ліміт суми або друга людина на погодженні?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[ролі]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вхід у матрицю прав (С5) і контроль платежів.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«Останній великий платіж фабриці — хто дозволив?» → «Є сума, вище якої потрібне ваше особисте підтвердження?»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Чи потрібен зведений реєстр платежів «кому скільки винні / коли платити» окремо від карток відправок?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вимога до AP-реєстру і платіжного календаря.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«Де зараз бачите загальну суму боргів перед агентами — десь, окрім окремих рахунків?» → «Вам зручніше список боргів чи календар платежів за датами?»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 Бухгалтерський облік Гонконгу (структура)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План рахунків Гонконгу: надасте готову структуру? Хто веде бухгалтерію — штат, аутсорс чи аудитор?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основа налаштування Accounting; хто підтверджує облікові рішення.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«Є файл плану рахунків, який можна вивантажити?» → «Хто щомісяця закриває період — ви, штатний бухгалтер чи зовнішній?»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Розмежування контурів: що йде у фінансовий облік, що в управлінський, що в бухгалтерський?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модель трьох контурів — ключова для конфігурації (D-6 — система виключно облікова).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«Маржа по відправці — це управлінський контур; бухгалтерський — для аудитора. Де проходить межа?» → «Що з цього бачить власник, а що лише бухгалтер?»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Мультивалюта: усі валюти в обігу, база USD, курс банківський на момент операції — підтверджуємо, що курсові різниці окремо не ведуться (С1)?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підтвердження облікової політики валют (узгоджено з X-17, D-12).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валюти реально в обігу, крім USD і юаня?» → «Курс берете з банку чи завантажуєте довідник?»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«Консолідація для аудиторів»: який формат вивантаження потрібен і з якою періодичністю? (звітність — на боці аудиторів, не в Odoo)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межа «Odoo консолідує / аудитор звітує».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«Що саме передаєте аудитору — оборотку, виписки, реєстри?» → «Раз на місяць, квартал, рік?»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Як закриваєте період (місяць) і які звіти потрібні на закриття?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[процеси]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процедура закриття періоду в Odoo.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«Що перевіряєте перед тим, як вважати місяць закритим?» → «Хто фізично закриває період?»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Податковий контур Гонконгу (profits tax): чи потрібні податкові ознаки в обліку?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чи зачіпає податок структуру обліку (за словами власника діяльність проста).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«Чи виділяєте суми податку в обліку взагалі?» → «Аудитор просить якісь податкові ознаки у проводках чи рахує податок поза системою?»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 Банк, каса, валютні операції, довідники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Банківсько-касовий контур: перекази між власними рахунками, зняття та внесення готівки, банківські комісії — підтвердити перелік документів (списання/зарахування) з С1.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повний перелік грошових документів для конфігурації.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ще рухи коштів є, крім оплат по відправках і конвертації?» → «Банк-комісія — окремий рядок у кожному русі?»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Довідник рахунків для оплати (банк, валюта): структура і як обирається рахунок при виставленні вихідного рахунку (залежно від клієнта)?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(Q-12)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модель вибору рахунку у формі рахунку (з С1 — обирає бухгалтер).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«Скільки у вас рахунків для прийому оплат і чим відрізняються?» → «За яким принципом обираєте, на який рахунок виставити?»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Обов'язкові поля картки контрагента (постачальник/агент/фабрика); один контрагент може мати кілька банківських рахунків у різних валютах — як зберігати й обирати при платежі?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[дані]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структура єдиного довідника контрагентів (D-14) для платежів і документів.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«Які поля завжди заповнюєте для нового агента?» → «Фабрика дала кілька рахунків — як обираєте, на який платити?»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5. Межі та підготовка наступних сесій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color w:val="888888"/>
          <w:sz w:val="22"/>
          <w:szCs w:val="22"/>
        </w:rPr>
        <w:t xml:space="preserve">○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Що з облікової моделі (агентська закупівля, контури, валюти) впливає на торгівлю (С4) і AR/прибутковість (С5) — позначити для наступних сесій.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передати вхід далі по циклу.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«Чи та сама логіка собівартості, що в агентській закупівлі, працює для звичайної торгівлі?» → «Що з валют і контурів варто пам'ятати, коли рахуватимемо маржу по відправці?»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6. Крос-проєктні доповнення (з бази знань ToDo)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Перевірені патерни зі схожих логістично-торгових/імпортних впроваджень. A і C — навідні до наявних питань (№1, №10); 20–21 — нові питання. Деталі й джерела — </w:t>
      </w:r>
      <w:r>
        <w:rPr>
          <w:rFonts w:ascii="Courier New" w:cs="Courier New" w:eastAsia="Courier New" w:hAnsi="Courier New"/>
          <w:sz w:val="20"/>
          <w:szCs w:val="20"/>
        </w:rPr>
        <w:t xml:space="preserve">крос-перевірка_сесії-2_SUPPLYCHAINS LIMITED.md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.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→ навідне до питання №1 (агентська закупівля).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(Q-1)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Референс Yodezeen («Комплектації»): кошти клієнта через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транзитний рахунок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винагорода визнається доходом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за фактом надходження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(касовий метод), борг фабриці закривається коштами клієнта (Settlement Correction).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Навідне: → «Є робоча модель з іншого проєкту: кошти клієнта на транзитному рахунку, ваша винагорода стає доходом у момент надходження, борг фабриці закривається коштами клієнта. Це ближче до вашої логіки, ніж купівля-продаж із націнкою?»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20. </w:t>
      </w:r>
      <w:r>
        <w:rPr>
          <w:rFonts w:ascii="Times New Roman" w:cs="Times New Roman" w:eastAsia="Times New Roman" w:hAnsi="Times New Roman"/>
          <w:b/>
          <w:bCs/>
          <w:color w:val="E8413B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Момент визнання доходу і витрат — однаковий у бухгалтерському й управлінському контурах, чи управлінський рахуєте за оплатою, а бухгалтерський — за документом/відвантаженням?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чи потрібні різні правила визнання для двох контурів (D-6); прямо стикується з D-10 (закриття відправки по оплаті) і №7 (accrued витрати). Патерн Хайтек: управлінський — за оплатою, регламентований — за відвантаженням.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«Коли вважаєте дохід отриманим — коли клієнт заплатив чи коли відправка пішла?» → «Витрати агента визнаєте по факту його рахунку чи по оплаті?»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 → навідне до питання №10 (план рахунків).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[рішення]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(Q-3)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Патерн Бріолекс: CoA заливати «один-до-одного» для перенесення залишків; рахунки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НЕ дробити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контури/маржу робити через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Analytic Accounts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(інакше — біль бухгалтера, відомий випадок).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Навідне: → «План рахунків заллємо один-до-одного, як він є у вашого бухгалтера/аудитора? Аналітику (контури, маржу) зробимо мітками, без дроблення рахунків.»</w:t>
      </w:r>
    </w:p>
    <w:p>
      <w:pPr>
        <w:spacing w:before="80" w:after="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21. </w:t>
      </w:r>
      <w:r>
        <w:rPr>
          <w:rFonts w:ascii="Times New Roman" w:cs="Times New Roman" w:eastAsia="Times New Roman" w:hAnsi="Times New Roman"/>
          <w:b/>
          <w:bCs/>
          <w:color w:val="E0A800"/>
          <w:sz w:val="22"/>
          <w:szCs w:val="22"/>
        </w:rPr>
        <w:t xml:space="preserve">●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Виписку з банку отримуєте файлом (CSV/Excel)? Чи потрібен імпорт виписки файлом для масового рознесення оплат по відправках — у межах ручної обробки, без інтеграції з банком (X-3 лишається чинним)?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2"/>
          <w:szCs w:val="22"/>
        </w:rPr>
        <w:t xml:space="preserve">[вимоги]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Навіщо: оплати↔відправки — «багато-до-багатьох» (D-11), ~50 відправок/міс; ручне рознесення кожної оплати — вузьке місце. Імпорт файлу виписки ≠ банк-інтеграція (X-3). Патерн Хайтек/DIASON: завантаження виписки CSV/Excel + напівавтоматична звірка.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Навідні: → «У якому форматі банк дає виписку?» → «Скільки платежів на місяць рознести вручну і скільки це часу?»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Відповідь: _________________________________________________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Карта покриття цілі сесії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400"/>
        <w:gridCol w:w="1800"/>
        <w:gridCol w:w="3872"/>
      </w:tblGrid>
      <w:tr>
        <w:tc>
          <w:tcPr>
            <w:tcW w:w="34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Елемент плану (v1.1, С2)</w:t>
            </w:r>
          </w:p>
        </w:tc>
        <w:tc>
          <w:tcPr>
            <w:tcW w:w="1800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Покрито питаннями?</w:t>
            </w:r>
          </w:p>
        </w:tc>
        <w:tc>
          <w:tcPr>
            <w:tcW w:w="3872" w:type="dxa"/>
            <w:shd w:val="clear" w:color="auto" w:fill="D9E7F2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Чим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Ціль: «облікова трактовка агентської закупівлі + структура бухобліку; формалізувати AP і реєстр платежів; банк/каса»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1–3 (агентська), 4–9 (AP), 10–15 (Гонконг), 16–18 (банк/каса)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«облікова модель агентської закупівлі (підтверджена бухгалтером)»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 (+ участь бухгалтера)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«вимоги до AP + реєстру платежів»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4, 6, 7, 8, 9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Результат: «рекомендація з Accounting (CoA, валюти, контури, межа консолідації)»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10, 11, 12, 13, 14, 15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схема грошей агентської закупівлі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знято як пройдене на С1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рамка в «Контексті циклу»; лишилось 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виручка чи транзит, винагорода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розрахунки з виробником (передоплата, валюта, хто погоджує)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2, 3, 8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кілька витратних документів, дублі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С2): перевиставлення з націнкою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план рахунків, хто веде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контури обліку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мультивалюта, курсові різниці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консолідація для аудиторів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13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закриття періоду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Заготовка (стара С3): податковий контур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розгорнуто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w="34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Перенесене по темі: Q-1, Q-3, Q-11, Q-12</w:t>
            </w:r>
          </w:p>
        </w:tc>
        <w:tc>
          <w:tcPr>
            <w:tcW w:w="1800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color w:val="2E8B57"/>
                <w:sz w:val="19"/>
                <w:szCs w:val="19"/>
              </w:rPr>
              <w:t xml:space="preserve">✓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всі включені</w:t>
            </w:r>
          </w:p>
        </w:tc>
        <w:tc>
          <w:tcPr>
            <w:tcW w:w="3872" w:type="dxa"/>
          </w:tcPr>
          <w:p>
            <w:pPr>
              <w:spacing w:before="10" w:after="10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1, 10, 18, 17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Прогалини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Ціль об'єднаної сесії покрита повністю. Глибока механіка стейтментів і відстрочок клієнтам (AR) — свідомо С5; landed cost — свідомо С4.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Парковка (інші сесії)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Стейтменти, аванси/відстрочки клієнтам, повна механіка маржі — Сесія 5 (Q-8)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Товарна партія + landed cost — Сесія 4 (Q-13)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Помісячний звіт по закритих відправках для ЗП — Сесія 5 (Q-14)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→ Формат/обсяг завантаження довідників і залишків, дата cutover — Сесія 7 (Q-9)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Усі питання парковки мають ID у журналі — нові Q-N не створювались.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Сигнали для BA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Бухгалтер критичний: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питання 1 і 10–15 без бухгалтера/аудитора зависнуть. Якщо його не буде — облікову розвилку (1) і план рахунків (10–11) доведеться перенести; попередь про це на початку.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Сесія об'ємна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(агентська + AP + Гонконг + банк/каса). Якщо не вкладаєтесь — банк/касу (16–18) винести у хвіст або в С5; пріоритет — облікова трактовка (1) і контури/CoA (10–11).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Комерційний параметр: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конкретний % винагороди звучав на С1 — у клієнтські документи/звіти не виносити; у питаннях фокус на механіці обліку, не на ставці.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Не тиснути на трактовку: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якщо власник/бухгалтер вагаються (1) — зафіксувати обидва варіанти і їх наслідки, рішення винести письмово; не нав'язувати на зустрічі.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Крос-проєктні референси (база знань):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 №1 можна показати модель Yodezeen (транзит + комісія за касовим методом) як приклад; на №10–11 — тримати стандартний CoA, контури/маржу через Analytic Accounts (досвід Бріолекс), не дробити рахунки.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Межа X-3 на зустрічі: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імпорт виписки файлом (№21) — це ручна обробка, не банк-інтеграція; X-3 лишається чинним. Не подавати як інтеграцію.</w:t>
      </w: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Anti-repeat</w:t>
      </w:r>
    </w:p>
    <w:p>
      <w:pPr>
        <w:spacing w:before="0"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Знято/не включено свідомо: повторний прохід процесу агентської закупівлі (Станіслав описав схему на С1 — лишили тільки облікову розвилку №1 + 2 уточнення); керування ставками (X-11), банк-інтеграції (X-3), штрафні санкції (X-8), payroll (X-15). Рішення D-11 (прив'язка за № транспортного документа), D-12 (конвертація окремим документом, USD), D-14 (єдиний довідник) — поглиблюються (№4, 3, 18), не повторюються. Питання 12 про курсові різниці — підтвердження вже відомого з С1 (X-17), не нова розвідка. Збережено легітимні повтори з ID: Q-1 (№1), Q-3 (№10), Q-11 (№18), Q-12 (№17). Крос-проєктні доповнення (секція 6: A, C — навідні; №20–21) звірені з чинними X-N: №21 свідомо в межах X-3 (імпорт файлу виписки ≠ банк-інтеграція).</w:t>
      </w:r>
    </w:p>
    <w:p>
      <w:pPr>
        <w:pBdr>
          <w:bottom w:val="single" w:sz="6" w:space="1" w:color="BBBBBB"/>
        </w:pBdr>
        <w:spacing w:before="20" w:after="20"/>
      </w:pPr>
    </w:p>
    <w:p>
      <w:pPr>
        <w:spacing w:before="220" w:after="9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Чого НЕ робити з цим опитувальником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надсилати клієнту — для клієнта є </w:t>
      </w:r>
      <w:r>
        <w:rPr>
          <w:rFonts w:ascii="Courier New" w:cs="Courier New" w:eastAsia="Courier New" w:hAnsi="Courier New"/>
          <w:sz w:val="22"/>
          <w:szCs w:val="22"/>
        </w:rPr>
        <w:t xml:space="preserve">session-client-prep-builder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(лист підготовки)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зачитувати підряд — це орієнтир для живої розмови</w:t>
      </w:r>
    </w:p>
    <w:p>
      <w:pPr>
        <w:spacing w:before="0" w:after="40"/>
        <w:ind w:left="3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Не питати про виключене зі scope (X-N) — для перегляду виключень є окрема розмова BA з клієнтом</w:t>
      </w:r>
    </w:p>
    <w:sectPr>
      <w:headerReference r:id="rId15" w:type="default"/>
      <w:footerReference r:id="rId16" w:type="default"/>
      <w:pgSz w:h="16838" w:w="11906" w:orient="portrait"/>
      <w:pgMar w:bottom="850" w:top="850" w:left="1418" w:right="1416" w:header="283" w:footer="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Open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6"/>
      <w:tblW w:w="10592.0" w:type="dxa"/>
      <w:jc w:val="left"/>
      <w:tblInd w:w="-284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816"/>
      <w:gridCol w:w="7776"/>
      <w:tblGridChange w:id="0">
        <w:tblGrid>
          <w:gridCol w:w="2816"/>
          <w:gridCol w:w="7776"/>
        </w:tblGrid>
      </w:tblGridChange>
    </w:tblGrid>
    <w:tr>
      <w:trPr>
        <w:cantSplit w:val="0"/>
        <w:trHeight w:val="286" w:hRule="atLeast"/>
        <w:tblHeader w:val="0"/>
      </w:trPr>
      <w:tc>
        <w:tcPr/>
        <w:p w:rsidR="00000000" w:rsidDel="00000000" w:rsidP="00000000" w:rsidRDefault="00000000" w:rsidRPr="00000000" w14:paraId="0000009D">
          <w:pPr>
            <w:spacing w:line="276" w:lineRule="auto"/>
            <w:ind w:right="-113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Fonts w:ascii="Open Sans" w:cs="Open Sans" w:eastAsia="Open Sans" w:hAnsi="Open Sans"/>
              <w:b w:val="1"/>
              <w:bCs w:val="1"/>
              <w:color w:val="bfbfbf"/>
              <w:sz w:val="18"/>
              <w:szCs w:val="18"/>
              <w:rtl w:val="0"/>
            </w:rPr>
            <w:t xml:space="preserve">ToDo: </w:t>
          </w:r>
          <w:r w:rsidDel="00000000" w:rsidR="00000000" w:rsidRPr="00000000">
            <w:rPr>
              <w:rFonts w:ascii="Open Sans" w:cs="Open Sans" w:eastAsia="Open Sans" w:hAnsi="Open Sans"/>
              <w:color w:val="bfbfbf"/>
              <w:sz w:val="18"/>
              <w:szCs w:val="18"/>
              <w:rtl w:val="0"/>
            </w:rPr>
            <w:t xml:space="preserve">Too easy do simple</w:t>
          </w:r>
        </w:p>
      </w:tc>
      <w:tc>
        <w:tcPr/>
        <w:p w:rsidR="00000000" w:rsidDel="00000000" w:rsidP="00000000" w:rsidRDefault="00000000" w:rsidRPr="00000000" w14:paraId="0000009E">
          <w:pPr>
            <w:spacing w:line="276" w:lineRule="auto"/>
            <w:rPr>
              <w:rFonts w:ascii="Open Sans" w:cs="Open Sans" w:eastAsia="Open Sans" w:hAnsi="Open Sans"/>
              <w:color w:val="bfbfbf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mc:AlternateContent>
              <mc:Choice Requires="wpg"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"/>
                    <a:graphic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3067200" y="3772800"/>
                              <a:ext cx="4557600" cy="144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FFFFFF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drawing>
                  <wp:anchor allowOverlap="1" behindDoc="0" distB="0" distT="0" distL="114300" distR="114300" hidden="0" layoutInCell="1" locked="0" relativeHeight="0" simplePos="0">
                    <wp:simplePos x="0" y="0"/>
                    <wp:positionH relativeFrom="column">
                      <wp:posOffset>1</wp:posOffset>
                    </wp:positionH>
                    <wp:positionV relativeFrom="paragraph">
                      <wp:posOffset>63500</wp:posOffset>
                    </wp:positionV>
                    <wp:extent cx="4567125" cy="23925"/>
                    <wp:effectExtent b="0" l="0" r="0" t="0"/>
                    <wp:wrapNone/>
                    <wp:docPr id="2" name="image11.png"/>
                    <a:graphic>
                      <a:graphicData uri="http://schemas.openxmlformats.org/drawingml/2006/picture">
                        <pic:pic>
                          <pic:nvPicPr>
                            <pic:cNvPr id="0" name="image11.png"/>
                            <pic:cNvPicPr preferRelativeResize="0"/>
                          </pic:nvPicPr>
                          <pic:blipFill>
                            <a:blip r:embed="rId1"/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4567125" cy="23925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anchor>
                </w:drawing>
              </mc:Fallback>
            </mc:AlternateContent>
          </w:r>
        </w:p>
      </w:tc>
    </w:tr>
  </w:tbl>
  <w:p w:rsidR="00000000" w:rsidDel="00000000" w:rsidP="00000000" w:rsidRDefault="00000000" w:rsidRPr="00000000" w14:paraId="0000009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6160770</wp:posOffset>
          </wp:positionH>
          <wp:positionV relativeFrom="paragraph">
            <wp:posOffset>-1430019</wp:posOffset>
          </wp:positionV>
          <wp:extent cx="774700" cy="807720"/>
          <wp:effectExtent b="0" l="0" r="0" t="0"/>
          <wp:wrapNone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0800000"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463611" y="3533621"/>
                        <a:ext cx="7764779" cy="492759"/>
                      </a:xfrm>
                      <a:prstGeom prst="rect">
                        <a:avLst/>
                      </a:prstGeom>
                      <a:solidFill>
                        <a:srgbClr val="F7F6F0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99999618530273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-901699</wp:posOffset>
              </wp:positionH>
              <wp:positionV relativeFrom="paragraph">
                <wp:posOffset>-342899</wp:posOffset>
              </wp:positionV>
              <wp:extent cx="7774304" cy="502284"/>
              <wp:effectExtent b="0" l="0" r="0" t="0"/>
              <wp:wrapNone/>
              <wp:docPr id="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4304" cy="502284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 New Roman" w:cs="Times New Roman" w:eastAsia="Times New Roman" w:hAnsi="Times New Roman"/>
        <w:i w:val="1"/>
        <w:iCs w:val="1"/>
        <w:sz w:val="28"/>
        <w:szCs w:val="28"/>
        <w:highlight w:val="yellow"/>
      </w:rPr>
    </w:pPr>
    <w:r w:rsidDel="00000000" w:rsidR="00000000" w:rsidRPr="00000000">
      <w:rPr>
        <w:rtl w:val="0"/>
      </w:rPr>
    </w:r>
  </w:p>
  <w:tbl>
    <w:tblPr>
      <w:tblStyle w:val="Table5"/>
      <w:tblW w:w="9924.0" w:type="dxa"/>
      <w:jc w:val="left"/>
      <w:tblInd w:w="-426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5194"/>
      <w:gridCol w:w="4730"/>
      <w:tblGridChange w:id="0">
        <w:tblGrid>
          <w:gridCol w:w="5194"/>
          <w:gridCol w:w="4730"/>
        </w:tblGrid>
      </w:tblGridChange>
    </w:tblGrid>
    <w:tr>
      <w:trPr>
        <w:cantSplit w:val="0"/>
        <w:trHeight w:val="1087" w:hRule="atLeast"/>
        <w:tblHeader w:val="0"/>
      </w:trPr>
      <w:tc>
        <w:tcPr/>
        <w:p w:rsidR="00000000" w:rsidDel="00000000" w:rsidP="00000000" w:rsidRDefault="00000000" w:rsidRPr="00000000" w14:paraId="0000009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-251" w:right="0" w:firstLine="142"/>
            <w:jc w:val="lef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000000"/>
              <w:sz w:val="15"/>
              <w:szCs w:val="15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306705</wp:posOffset>
                </wp:positionH>
                <wp:positionV relativeFrom="paragraph">
                  <wp:posOffset>173355</wp:posOffset>
                </wp:positionV>
                <wp:extent cx="1871450" cy="732306"/>
                <wp:effectExtent b="0" l="0" r="0" t="0"/>
                <wp:wrapNone/>
                <wp:docPr id="1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1450" cy="7323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vAlign w:val="center"/>
        </w:tcPr>
        <w:p w:rsidR="00000000" w:rsidDel="00000000" w:rsidP="00000000" w:rsidRDefault="00000000" w:rsidRPr="00000000" w14:paraId="0000009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м. Київ, просп. Соборності 7А, оф. 105</w:t>
          </w:r>
        </w:p>
        <w:p w:rsidR="00000000" w:rsidDel="00000000" w:rsidP="00000000" w:rsidRDefault="00000000" w:rsidRPr="00000000" w14:paraId="0000009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+38 (073) 871 53 13</w:t>
          </w:r>
        </w:p>
        <w:p w:rsidR="00000000" w:rsidDel="00000000" w:rsidP="00000000" w:rsidRDefault="00000000" w:rsidRPr="00000000" w14:paraId="0000009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sale@todo.ltd</w:t>
          </w:r>
        </w:p>
        <w:p w:rsidR="00000000" w:rsidDel="00000000" w:rsidP="00000000" w:rsidRDefault="00000000" w:rsidRPr="00000000" w14:paraId="0000009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77"/>
              <w:tab w:val="right" w:leader="none" w:pos="9355"/>
            </w:tabs>
            <w:spacing w:after="0" w:before="0" w:line="276" w:lineRule="auto"/>
            <w:ind w:left="0" w:right="0" w:firstLine="0"/>
            <w:jc w:val="right"/>
            <w:rPr>
              <w:rFonts w:ascii="Cambria" w:cs="Cambria" w:eastAsia="Cambria" w:hAnsi="Cambria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Open Sans" w:cs="Open Sans" w:eastAsia="Open Sans" w:hAnsi="Open Sans"/>
              <w:b w:val="0"/>
              <w:bCs w:val="0"/>
              <w:i w:val="0"/>
              <w:iCs w:val="0"/>
              <w:smallCaps w:val="0"/>
              <w:strike w:val="0"/>
              <w:color w:val="80808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www.todo.ltd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-957579</wp:posOffset>
          </wp:positionV>
          <wp:extent cx="774700" cy="807720"/>
          <wp:effectExtent b="0" l="0" r="0" t="0"/>
          <wp:wrapNone/>
          <wp:docPr id="10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4700" cy="80772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36609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43f61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?><Relationships xmlns="http://schemas.openxmlformats.org/package/2006/relationships"><Relationship Id="rId11" Type="http://schemas.openxmlformats.org/officeDocument/2006/relationships/hyperlink" Target="http://www.todo.ltd" TargetMode="External"/><Relationship Id="rId10" Type="http://schemas.openxmlformats.org/officeDocument/2006/relationships/hyperlink" Target="mailto:sale@todo.ltd" TargetMode="External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7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OpenSans-regular.ttf"/><Relationship Id="rId4" Type="http://schemas.openxmlformats.org/officeDocument/2006/relationships/font" Target="fonts/OpenSans-bold.ttf"/><Relationship Id="rId5" Type="http://schemas.openxmlformats.org/officeDocument/2006/relationships/font" Target="fonts/OpenSans-italic.ttf"/><Relationship Id="rId6" Type="http://schemas.openxmlformats.org/officeDocument/2006/relationships/font" Target="fonts/OpenSans-boldItalic.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1.png"/><Relationship Id="rId2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