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OpenSans-bold.ttf" ContentType="application/x-font-ttf"/>
  <Override PartName="/word/fonts/OpenSans-boldItalic.ttf" ContentType="application/x-font-ttf"/>
  <Override PartName="/word/fonts/OpenSans-italic.ttf" ContentType="application/x-font-ttf"/>
  <Override PartName="/word/fonts/Open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b w:val="1"/>
          <w:bCs w:val="1"/>
          <w:sz w:val="84"/>
          <w:szCs w:val="84"/>
        </w:rPr>
      </w:pPr>
      <w:r>
        <w:rPr>
          <w:rFonts w:ascii="Times New Roman" w:cs="Times New Roman" w:eastAsia="Times New Roman" w:hAnsi="Times New Roman"/>
          <w:b w:val="1"/>
          <w:bCs w:val="1"/>
          <w:sz w:val="68"/>
          <w:szCs w:val="68"/>
          <w:rtl w:val="0"/>
        </w:rPr>
        <w:t xml:space="preserve"> </w:t>
      </w:r>
      <w:r>
        <w:rPr>
          <w:rFonts w:ascii="Times New Roman" w:cs="Times New Roman" w:eastAsia="Times New Roman" w:hAnsi="Times New Roman"/>
          <w:b w:val="1"/>
          <w:bCs w:val="1"/>
          <w:sz w:val="68"/>
          <w:szCs w:val="68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rightMargin">
              <wp:posOffset>408305</wp:posOffset>
            </wp:positionH>
            <wp:positionV relativeFrom="page">
              <wp:posOffset>1124585</wp:posOffset>
            </wp:positionV>
            <wp:extent cx="774700" cy="807720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74700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>
        <w:rPr>
          <w:rFonts w:ascii="Times New Roman" w:cs="Times New Roman" w:eastAsia="Times New Roman" w:hAnsi="Times New Roman"/>
          <w:b w:val="1"/>
          <w:bCs w:val="1"/>
          <w:sz w:val="68"/>
          <w:szCs w:val="68"/>
          <w:rtl w:val="0"/>
        </w:rPr>
        <w:t xml:space="preserve">ОПИТУВАЛЬНИК СЕСІЇ 2 (ОБЛІКОВА) </w:t>
      </w:r>
      <w:r>
        <w:rPr>
          <w:rFonts w:ascii="Times New Roman" w:cs="Times New Roman" w:eastAsia="Times New Roman" w:hAnsi="Times New Roman"/>
          <w:sz w:val="52"/>
          <w:szCs w:val="52"/>
          <w:rtl w:val="0"/>
        </w:rPr>
        <w:t>Впровадження Odoo 19 — SUPPLYCHAINS LIMITED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812"/>
        </w:tabs>
        <w:spacing w:after="0" w:line="240" w:lineRule="auto"/>
        <w:rPr/>
      </w:pPr>
      <w:r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align>left</wp:align>
            </wp:positionH>
            <wp:positionV relativeFrom="page">
              <wp:posOffset>2727960</wp:posOffset>
            </wp:positionV>
            <wp:extent cx="8841105" cy="5894070"/>
            <wp:effectExtent b="0" l="0" r="0" t="0"/>
            <wp:wrapNone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41105" cy="58940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812"/>
        </w:tabs>
        <w:spacing w:after="0" w:line="2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5812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page">
              <wp:posOffset>7386319</wp:posOffset>
            </wp:positionV>
            <wp:extent cx="3168650" cy="283210"/>
            <wp:effectExtent b="0" l="0" r="0" t="0"/>
            <wp:wrapNone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2832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812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bookmarkStart w:colFirst="0" w:colLast="0" w:name="_gjdgxs" w:id="0"/>
      <w:bookmarkEnd w:id="0"/>
      <w:r>
        <w:rPr>
          <w:rtl w:val="0"/>
        </w:rPr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-2428239</wp:posOffset>
            </wp:positionH>
            <wp:positionV relativeFrom="paragraph">
              <wp:posOffset>260984</wp:posOffset>
            </wp:positionV>
            <wp:extent cx="5760720" cy="68961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9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>
        <w:rPr>
          <w:rFonts w:ascii="Times New Roman" w:cs="Times New Roman" w:eastAsia="Times New Roman" w:hAnsi="Times New Roman"/>
          <w:color w:val="ffffff"/>
          <w:sz w:val="32"/>
          <w:szCs w:val="32"/>
          <w:rtl w:val="0"/>
        </w:rPr>
        <w:t xml:space="preserve">+38 (073) 871 53 13</w:t>
      </w:r>
      <w:r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hyperlink r:id="rId10">
        <w:r>
          <w:rPr>
            <w:rFonts w:ascii="Times New Roman" w:cs="Times New Roman" w:eastAsia="Times New Roman" w:hAnsi="Times New Roman"/>
            <w:color w:val="ffffff"/>
            <w:sz w:val="32"/>
            <w:szCs w:val="32"/>
            <w:rtl w:val="0"/>
          </w:rPr>
          <w:t xml:space="preserve">sale@todo.ltd</w:t>
        </w:r>
      </w:hyperlink>
      <w:r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hyperlink r:id="rId11">
        <w:r>
          <w:rPr>
            <w:rFonts w:ascii="Times New Roman" w:cs="Times New Roman" w:eastAsia="Times New Roman" w:hAnsi="Times New Roman"/>
            <w:color w:val="ffffff"/>
            <w:sz w:val="32"/>
            <w:szCs w:val="32"/>
            <w:u w:val="single"/>
            <w:rtl w:val="0"/>
          </w:rPr>
          <w:t xml:space="preserve">www.todo.ltd</w:t>
        </w:r>
      </w:hyperlink>
      <w:r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r>
        <w:rPr>
          <w:b w:val="1"/>
          <w:bCs w:val="1"/>
          <w:sz w:val="84"/>
          <w:szCs w:val="8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2308860</wp:posOffset>
            </wp:positionH>
            <wp:positionV relativeFrom="page">
              <wp:posOffset>8737600</wp:posOffset>
            </wp:positionV>
            <wp:extent cx="859790" cy="1390650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9790" cy="1390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3497db"/>
          <w:sz w:val="28"/>
          <w:szCs w:val="28"/>
        </w:rPr>
      </w:pPr>
      <w:r>
        <w:rPr>
          <w:rtl w:val="0"/>
        </w:rPr>
      </w:r>
    </w:p>
    <w:p w:rsidR="00000000" w:rsidDel="00000000" w:rsidP="00000000" w:rsidRDefault="00000000" w:rsidRPr="00000000" w14:paraId="00000023">
      <w:pPr>
        <w:spacing w:line="312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>
        <w:rPr>
          <w:rFonts w:ascii="Times New Roman" w:cs="Times New Roman" w:eastAsia="Times New Roman" w:hAnsi="Times New Roman"/>
          <w:b w:val="1"/>
          <w:bCs w:val="1"/>
          <w:color w:val="f05423"/>
          <w:sz w:val="28"/>
          <w:szCs w:val="28"/>
          <w:rtl w:val="0"/>
        </w:rPr>
        <w:t>SUPPLYCHAINS LIMITED</w:t>
      </w:r>
      <w:r>
        <w:rPr>
          <w:rtl w:val="0"/>
        </w:rPr>
      </w:r>
    </w:p>
    <w:p>
      <w:pPr>
        <w:spacing w:after="20"/>
        <w:rPr>
          <w:rFonts w:ascii="Times New Roman" w:cs="Times New Roman" w:eastAsia="Times New Roman" w:hAnsi="Times New Roman"/>
          <w:sz w:val="18"/>
          <w:szCs w:val="18"/>
        </w:rPr>
      </w:pPr>
      <w:r>
        <w:rPr>
          <w:rFonts w:ascii="Times New Roman" w:cs="Times New Roman" w:eastAsia="Times New Roman" w:hAnsi="Times New Roman"/>
          <w:color w:val="595959"/>
          <w:sz w:val="18"/>
          <w:szCs w:val="18"/>
          <w:rtl w:val="0"/>
        </w:rPr>
        <w:t>Дата підготовки: 09.06.2026</w:t>
      </w:r>
    </w:p>
    <w:p>
      <w:pPr>
        <w:spacing w:after="20"/>
        <w:rPr>
          <w:rFonts w:ascii="Times New Roman" w:cs="Times New Roman" w:eastAsia="Times New Roman" w:hAnsi="Times New Roman"/>
          <w:sz w:val="18"/>
          <w:szCs w:val="18"/>
        </w:rPr>
      </w:pPr>
      <w:r>
        <w:rPr>
          <w:rFonts w:ascii="Times New Roman" w:cs="Times New Roman" w:eastAsia="Times New Roman" w:hAnsi="Times New Roman"/>
          <w:color w:val="595959"/>
          <w:sz w:val="18"/>
          <w:szCs w:val="18"/>
          <w:rtl w:val="0"/>
        </w:rPr>
        <w:t xml:space="preserve">Сесія: 2 з 5 (план v1.1) · 11.06.2026, 16:00 за Києвом · учасники за планом: Станіслав (власник) + </w:t>
      </w:r>
      <w:r>
        <w:rPr>
          <w:rFonts w:ascii="Times New Roman" w:cs="Times New Roman" w:eastAsia="Times New Roman" w:hAnsi="Times New Roman"/>
          <w:b w:val="1"/>
          <w:bCs w:val="1"/>
          <w:color w:val="595959"/>
          <w:sz w:val="18"/>
          <w:szCs w:val="18"/>
          <w:rtl w:val="0"/>
        </w:rPr>
        <w:t>бухгалтер/аудитор (обов’язково)</w:t>
      </w:r>
      <w:r>
        <w:rPr>
          <w:rFonts w:ascii="Times New Roman" w:cs="Times New Roman" w:eastAsia="Times New Roman" w:hAnsi="Times New Roman"/>
          <w:color w:val="595959"/>
          <w:sz w:val="18"/>
          <w:szCs w:val="18"/>
          <w:rtl w:val="0"/>
        </w:rPr>
        <w:t>; від ToDo — BA (+ архітектор бажано)</w:t>
      </w:r>
    </w:p>
    <w:p>
      <w:pPr>
        <w:spacing w:after="20"/>
        <w:rPr>
          <w:rFonts w:ascii="Times New Roman" w:cs="Times New Roman" w:eastAsia="Times New Roman" w:hAnsi="Times New Roman"/>
          <w:sz w:val="18"/>
          <w:szCs w:val="18"/>
        </w:rPr>
      </w:pPr>
      <w:r>
        <w:rPr>
          <w:rFonts w:ascii="Times New Roman" w:cs="Times New Roman" w:eastAsia="Times New Roman" w:hAnsi="Times New Roman"/>
          <w:color w:val="595959"/>
          <w:sz w:val="18"/>
          <w:szCs w:val="18"/>
          <w:rtl w:val="0"/>
        </w:rPr>
        <w:t>Складено на основі: план дискавері v1.1 / журнал станом на 09.06.2026 / 2 протоколи (УЗ + сесія 1)</w:t>
      </w:r>
    </w:p>
    <w:p>
      <w:pPr>
        <w:spacing w:after="20"/>
        <w:rPr>
          <w:rFonts w:ascii="Times New Roman" w:cs="Times New Roman" w:eastAsia="Times New Roman" w:hAnsi="Times New Roman"/>
          <w:sz w:val="18"/>
          <w:szCs w:val="18"/>
        </w:rPr>
      </w:pPr>
      <w:r>
        <w:rPr>
          <w:rFonts w:ascii="Times New Roman" w:cs="Times New Roman" w:eastAsia="Times New Roman" w:hAnsi="Times New Roman"/>
          <w:color w:val="595959"/>
          <w:sz w:val="18"/>
          <w:szCs w:val="18"/>
          <w:rtl w:val="0"/>
        </w:rPr>
        <w:t>Призначення: тільки команда — робочий документ BA на зустрічі</w:t>
      </w:r>
    </w:p>
    <w:p>
      <w:pPr>
        <w:spacing w:after="20"/>
        <w:rPr>
          <w:rFonts w:ascii="Times New Roman" w:cs="Times New Roman" w:eastAsia="Times New Roman" w:hAnsi="Times New Roman"/>
          <w:sz w:val="18"/>
          <w:szCs w:val="18"/>
        </w:rPr>
      </w:pPr>
      <w:r>
        <w:rPr>
          <w:rFonts w:ascii="Times New Roman" w:cs="Times New Roman" w:eastAsia="Times New Roman" w:hAnsi="Times New Roman"/>
          <w:color w:val="595959"/>
          <w:sz w:val="18"/>
          <w:szCs w:val="18"/>
          <w:rtl w:val="0"/>
        </w:rPr>
        <w:t xml:space="preserve">&gt; </w:t>
      </w:r>
      <w:r>
        <w:rPr>
          <w:rFonts w:ascii="Times New Roman" w:cs="Times New Roman" w:eastAsia="Times New Roman" w:hAnsi="Times New Roman"/>
          <w:b w:val="1"/>
          <w:bCs w:val="1"/>
          <w:color w:val="595959"/>
          <w:sz w:val="18"/>
          <w:szCs w:val="18"/>
          <w:rtl w:val="0"/>
        </w:rPr>
        <w:t>Як користуватись:</w:t>
      </w:r>
      <w:r>
        <w:rPr>
          <w:rFonts w:ascii="Times New Roman" w:cs="Times New Roman" w:eastAsia="Times New Roman" w:hAnsi="Times New Roman"/>
          <w:color w:val="595959"/>
          <w:sz w:val="18"/>
          <w:szCs w:val="18"/>
          <w:rtl w:val="0"/>
        </w:rPr>
        <w:t xml:space="preserve"> питай у порядку пріоритету, починаючи з перенесеного. Якщо клієнт відповідає</w:t>
      </w:r>
    </w:p>
    <w:p>
      <w:pPr>
        <w:spacing w:after="20"/>
        <w:rPr>
          <w:rFonts w:ascii="Times New Roman" w:cs="Times New Roman" w:eastAsia="Times New Roman" w:hAnsi="Times New Roman"/>
          <w:sz w:val="18"/>
          <w:szCs w:val="18"/>
        </w:rPr>
      </w:pPr>
      <w:r>
        <w:rPr>
          <w:rFonts w:ascii="Times New Roman" w:cs="Times New Roman" w:eastAsia="Times New Roman" w:hAnsi="Times New Roman"/>
          <w:color w:val="595959"/>
          <w:sz w:val="18"/>
          <w:szCs w:val="18"/>
          <w:rtl w:val="0"/>
        </w:rPr>
        <w:t>&gt; коротко або мовчить — іди по навідних під питанням. Фіксуй відповіді прямо в полях. Після зустрічі</w:t>
      </w:r>
    </w:p>
    <w:p>
      <w:pPr>
        <w:spacing w:after="20"/>
        <w:rPr>
          <w:rFonts w:ascii="Times New Roman" w:cs="Times New Roman" w:eastAsia="Times New Roman" w:hAnsi="Times New Roman"/>
          <w:sz w:val="18"/>
          <w:szCs w:val="18"/>
        </w:rPr>
      </w:pPr>
      <w:r>
        <w:rPr>
          <w:rFonts w:ascii="Times New Roman" w:cs="Times New Roman" w:eastAsia="Times New Roman" w:hAnsi="Times New Roman"/>
          <w:color w:val="595959"/>
          <w:sz w:val="18"/>
          <w:szCs w:val="18"/>
          <w:rtl w:val="0"/>
        </w:rPr>
        <w:t>&gt; заповнений файл — вхід для аналізу і наступної ітерації журналу.</w:t>
      </w:r>
    </w:p>
    <w:p>
      <w:pPr>
        <w:keepNext w:val="1"/>
        <w:spacing w:before="200" w:after="80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color w:val="f05423"/>
          <w:sz w:val="26"/>
          <w:szCs w:val="26"/>
          <w:rtl w:val="0"/>
        </w:rPr>
        <w:t>🔁 Контекст циклу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Друга сесія циклу — об’єднана облікова (план v1.1).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Поєднує колишні Сесії 2 (агентська закупівля + AP) і 3 (бухоблік Гонконгу) + банківсько-касовий контур.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Агентську закупівлю на С1 вже описано на рівні процесу — цю сесію присвячено обліковій трактовці, а не повторній розвідці схеми.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Тому потрібен бухгалтер.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Закрито раніше (✅):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наскрізний обліковий шлях відправки + транспортні документи (С1).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Рамку отримано на С1 (НЕ перепитувати процес):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агентська закупівля — клієнт платить USD → конвертація → платіж фабриці → комісія/націнка; товар напряму клієнту повз склад; у документах — інвойси. Станіслав сам назвав дві можливі облікові моделі (наценка-партія vs комісія-транзит) — вибір лишився відкритим.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Перенесено в цю сесію: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Q-1 (агентська закупівля — звужено до облікової розвилки).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Виключено зі scope (НЕ питати):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X-3 банк-інтеграції · X-8 штрафні санкції · X-11 керування ставками · X-15 payroll у системі · X-17 облік курсових різниць (на С1 підтверджено, що не ведеться).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Ключові рішення по темі (не перепитувати, лише поглиблювати):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D-6 система виключно облікова · D-11 окремі документи оплат, M:N, прив’язка за № транспортного документа · D-12 конвертація валюти окремим документом, база USD · D-14 єдиний довідник контрагентів.</w:t>
      </w:r>
    </w:p>
    <w:p>
      <w:pPr>
        <w:keepNext w:val="1"/>
        <w:spacing w:before="140" w:after="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color w:val="3497db"/>
          <w:sz w:val="24"/>
          <w:szCs w:val="24"/>
          <w:rtl w:val="0"/>
        </w:rPr>
        <w:t>Інвентаризація вхідних</w:t>
      </w:r>
    </w:p>
    <w:tbl>
      <w:tblPr>
        <w:tblStyle w:val="Table1"/>
        <w:tblW w:w="9061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020"/>
        <w:gridCol w:w="3020"/>
        <w:gridCol w:w="3021"/>
      </w:tblGrid>
      <w:tr>
        <w:trPr>
          <w:tblHeader w:val="1"/>
        </w:trPr>
        <w:tc>
          <w:tcPr>
            <w:tcW w:w="3020" w:type="dxa"/>
            <w:shd w:fill="d9d9d9" w:val="clear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>Файл</w:t>
            </w:r>
          </w:p>
        </w:tc>
        <w:tc>
          <w:tcPr>
            <w:tcW w:w="3020" w:type="dxa"/>
            <w:shd w:fill="d9d9d9" w:val="clear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>Статус</w:t>
            </w:r>
          </w:p>
        </w:tc>
        <w:tc>
          <w:tcPr>
            <w:tcW w:w="3021" w:type="dxa"/>
            <w:shd w:fill="d9d9d9" w:val="clear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>Що дає</w:t>
            </w:r>
          </w:p>
        </w:tc>
      </w:tr>
      <w:tr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>план_дискавері_SUPPLYCHAINS LIMITED.md</w:t>
            </w: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 v1.1</w:t>
            </w:r>
          </w:p>
        </w:tc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є</w:t>
            </w:r>
          </w:p>
        </w:tc>
        <w:tc>
          <w:tcPr>
            <w:tcW w:w="3021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ціль об’єднаної сесії, ризик «податково чутлива зона», R-1</w:t>
            </w:r>
          </w:p>
        </w:tc>
      </w:tr>
      <w:tr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i w:val="1"/>
                <w:iCs w:val="1"/>
                <w:sz w:val="19"/>
                <w:szCs w:val="19"/>
                <w:rtl w:val="0"/>
              </w:rPr>
              <w:t>журнал_дискавері_SUPPLYCHAINS LIMITED.md</w:t>
            </w:r>
          </w:p>
        </w:tc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оновлено (09.06.2026)</w:t>
            </w:r>
          </w:p>
        </w:tc>
        <w:tc>
          <w:tcPr>
            <w:tcW w:w="3021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стан циклу після С1, структура v1.1</w:t>
            </w:r>
          </w:p>
        </w:tc>
      </w:tr>
      <w:tr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протоколи попередніх зустрічей</w:t>
            </w:r>
          </w:p>
        </w:tc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2 шт. (УЗ 03.06 + сесія 1 09.06)</w:t>
            </w:r>
          </w:p>
        </w:tc>
        <w:tc>
          <w:tcPr>
            <w:tcW w:w="3021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рішення D-1…D-14, виключення X-1…X-18</w:t>
            </w:r>
          </w:p>
        </w:tc>
      </w:tr>
    </w:tbl>
    <w:p>
      <w:pPr>
        <w:spacing w:after="40"/>
        <w:rPr>
          <w:rFonts w:ascii="Times New Roman" w:cs="Times New Roman" w:eastAsia="Times New Roman" w:hAnsi="Times New Roman"/>
          <w:sz w:val="12"/>
          <w:szCs w:val="12"/>
        </w:rPr>
      </w:pPr>
    </w:p>
    <w:p>
      <w:pPr>
        <w:pBdr>
          <w:bottom w:val="single" w:sz="6" w:space="6" w:color="CCCCCC"/>
        </w:pBdr>
        <w:spacing w:before="80" w:after="80"/>
      </w:pPr>
    </w:p>
    <w:p>
      <w:pPr>
        <w:keepNext w:val="1"/>
        <w:spacing w:before="200" w:after="80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color w:val="f05423"/>
          <w:sz w:val="26"/>
          <w:szCs w:val="26"/>
          <w:rtl w:val="0"/>
        </w:rPr>
        <w:t>0. Перенесене з сесії 1 (першим!)</w:t>
      </w:r>
    </w:p>
    <w:p>
      <w:pPr>
        <w:keepNext w:val="1"/>
        <w:spacing w:before="180" w:after="2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1. 🔴 [Питання передусім бухгалтеру] На С1 ви назвали дві моделі агентської закупівлі. Яка з них облікова істина: (а) виручка по повній угоді — купівля-продаж із націнкою, чи (б) лише ваша винагорода як виручка, а кошти клієнта — транзит (зобов’язання), не ваш оборот?</w:t>
      </w:r>
      <w:r>
        <w:rPr>
          <w:rFonts w:ascii="Times New Roman" w:cs="Times New Roman" w:eastAsia="Times New Roman" w:hAnsi="Times New Roman"/>
          <w:b w:val="1"/>
          <w:bCs w:val="1"/>
          <w:color w:val="595959"/>
          <w:sz w:val="20"/>
          <w:szCs w:val="20"/>
          <w:rtl w:val="0"/>
        </w:rPr>
        <w:t xml:space="preserve">  [рішення]</w:t>
      </w:r>
      <w:r>
        <w:rPr>
          <w:rFonts w:ascii="Times New Roman" w:cs="Times New Roman" w:eastAsia="Times New Roman" w:hAnsi="Times New Roman"/>
          <w:b w:val="1"/>
          <w:bCs w:val="1"/>
          <w:color w:val="595959"/>
          <w:sz w:val="20"/>
          <w:szCs w:val="20"/>
          <w:rtl w:val="0"/>
        </w:rPr>
        <w:t xml:space="preserve">  (Q-1)</w:t>
      </w:r>
    </w:p>
    <w:p>
      <w:pPr>
        <w:keepNext w:val="1"/>
        <w:spacing w:before="1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Навіщо: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>визначає оборот, визнання виручки, проводки і податок — головне рішення сесії; вхід у структуру бухобліку (нижче).</w:t>
      </w:r>
    </w:p>
    <w:p>
      <w:pPr>
        <w:keepNext w:val="1"/>
        <w:spacing w:before="2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>Навідні: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«Як проводите таку угоду в 1С зараз — як продаж товару чи як послугу/комісію?»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«Чи стоїть цей товар колись на вашому балансі?»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«Що по цій операції потрапляє в оборот для аудитора — повна сума чи лише ваша винагорода?»</w:t>
      </w:r>
    </w:p>
    <w:p>
      <w:pPr>
        <w:spacing w:before="10" w:after="12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Відповідь: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_________________________________________________</w:t>
      </w:r>
    </w:p>
    <w:p>
      <w:pPr>
        <w:keepNext w:val="1"/>
        <w:spacing w:before="200" w:after="80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color w:val="f05423"/>
          <w:sz w:val="26"/>
          <w:szCs w:val="26"/>
          <w:rtl w:val="0"/>
        </w:rPr>
        <w:t>1. Агентська закупівля — уточнення (схему отримано на С1)</w:t>
      </w:r>
    </w:p>
    <w:p>
      <w:pPr>
        <w:keepNext w:val="1"/>
        <w:spacing w:before="180" w:after="2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2. 🟡 Хронологія платежів: клієнт завжди переказує кошти раніше, ніж ви платите фабриці, чи буває, що авансуєте фабрику зі своїх? Як обліковувати розрив у часі?</w:t>
      </w:r>
      <w:r>
        <w:rPr>
          <w:rFonts w:ascii="Times New Roman" w:cs="Times New Roman" w:eastAsia="Times New Roman" w:hAnsi="Times New Roman"/>
          <w:b w:val="1"/>
          <w:bCs w:val="1"/>
          <w:color w:val="595959"/>
          <w:sz w:val="20"/>
          <w:szCs w:val="20"/>
          <w:rtl w:val="0"/>
        </w:rPr>
        <w:t xml:space="preserve">  [процеси]</w:t>
      </w:r>
    </w:p>
    <w:p>
      <w:pPr>
        <w:keepNext w:val="1"/>
        <w:spacing w:before="1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Навіщо: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>потреба в обліку авансів/зобов’язань і черговість проводок.</w:t>
      </w:r>
    </w:p>
    <w:p>
      <w:pPr>
        <w:keepNext w:val="1"/>
        <w:spacing w:before="2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>Навідні: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«Бувало, що заплатили фабриці до надходження коштів клієнта?»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«Передоплата, депозит — що реально використовуєте?»</w:t>
      </w:r>
    </w:p>
    <w:p>
      <w:pPr>
        <w:spacing w:before="10" w:after="12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Відповідь: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_________________________________________________</w:t>
      </w:r>
    </w:p>
    <w:p>
      <w:pPr>
        <w:keepNext w:val="1"/>
        <w:spacing w:before="180" w:after="2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3. 🟡 На якому моменті фіксуєте курс і чий це курс при конвертації коштів клієнта (в межах D-12 — окремий документ конвертації)?</w:t>
      </w:r>
      <w:r>
        <w:rPr>
          <w:rFonts w:ascii="Times New Roman" w:cs="Times New Roman" w:eastAsia="Times New Roman" w:hAnsi="Times New Roman"/>
          <w:b w:val="1"/>
          <w:bCs w:val="1"/>
          <w:color w:val="595959"/>
          <w:sz w:val="20"/>
          <w:szCs w:val="20"/>
          <w:rtl w:val="0"/>
        </w:rPr>
        <w:t xml:space="preserve">  [вимоги]</w:t>
      </w:r>
    </w:p>
    <w:p>
      <w:pPr>
        <w:keepNext w:val="1"/>
        <w:spacing w:before="1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Навіщо: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>правило операційної конвертації (не облік курсових різниць — X-17).</w:t>
      </w:r>
    </w:p>
    <w:p>
      <w:pPr>
        <w:keepNext w:val="1"/>
        <w:spacing w:before="2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>Навідні: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«Покажіть розрахунок суми по останній агентській угоді: з якої суми в юанях вийшла сума в доларах»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«Курс банку на день платежу чи фіксований у домовленості з клієнтом?»</w:t>
      </w:r>
    </w:p>
    <w:p>
      <w:pPr>
        <w:spacing w:before="10" w:after="12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Відповідь: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_________________________________________________</w:t>
      </w:r>
    </w:p>
    <w:p>
      <w:pPr>
        <w:keepNext w:val="1"/>
        <w:spacing w:before="200" w:after="80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color w:val="f05423"/>
          <w:sz w:val="26"/>
          <w:szCs w:val="26"/>
          <w:rtl w:val="0"/>
        </w:rPr>
        <w:t>2. Розрахунки з постачальниками (AP) — поглиблення С1</w:t>
      </w:r>
    </w:p>
    <w:p>
      <w:pPr>
        <w:keepNext w:val="1"/>
        <w:spacing w:before="180" w:after="2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4. 🔴 До однієї відправки — кілька вхідних рахунків. Прив’язка за номером транспортного документа вже відома (С1) — а як зіставляєте конкретний рядок рахунку з послугою у відправці? Бувають дублі або переплати?</w:t>
      </w:r>
      <w:r>
        <w:rPr>
          <w:rFonts w:ascii="Times New Roman" w:cs="Times New Roman" w:eastAsia="Times New Roman" w:hAnsi="Times New Roman"/>
          <w:b w:val="1"/>
          <w:bCs w:val="1"/>
          <w:color w:val="595959"/>
          <w:sz w:val="20"/>
          <w:szCs w:val="20"/>
          <w:rtl w:val="0"/>
        </w:rPr>
        <w:t xml:space="preserve">  [процеси]</w:t>
      </w:r>
    </w:p>
    <w:p>
      <w:pPr>
        <w:keepNext w:val="1"/>
        <w:spacing w:before="1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Навіщо: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>точність рознесення витрат на відправку — основа розрахунку прибутковості (С5).</w:t>
      </w:r>
    </w:p>
    <w:p>
      <w:pPr>
        <w:keepNext w:val="1"/>
        <w:spacing w:before="2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>Навідні: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«Візьмімо останній рахунок від агента: як зрозуміли, які рядки до якої відправки?»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«Один рахунок покриває кілька відправок — як ділите?»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«Як ловите подвійний рахунок або завищену суму?»</w:t>
      </w:r>
    </w:p>
    <w:p>
      <w:pPr>
        <w:spacing w:before="10" w:after="12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Відповідь: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_________________________________________________</w:t>
      </w:r>
    </w:p>
    <w:p>
      <w:pPr>
        <w:keepNext w:val="1"/>
        <w:spacing w:before="180" w:after="2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5. 🔴 Перевиставлення наскрізних витрат клієнту з націнкою: окремим рядком чи всередині загальної суми? Клієнт бачить вашу націнку?</w:t>
      </w:r>
      <w:r>
        <w:rPr>
          <w:rFonts w:ascii="Times New Roman" w:cs="Times New Roman" w:eastAsia="Times New Roman" w:hAnsi="Times New Roman"/>
          <w:b w:val="1"/>
          <w:bCs w:val="1"/>
          <w:color w:val="595959"/>
          <w:sz w:val="20"/>
          <w:szCs w:val="20"/>
          <w:rtl w:val="0"/>
        </w:rPr>
        <w:t xml:space="preserve">  [вимоги]</w:t>
      </w:r>
    </w:p>
    <w:p>
      <w:pPr>
        <w:keepNext w:val="1"/>
        <w:spacing w:before="1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Навіщо: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>облікова механіка перевиставлення (узгодити з AR — С5).</w:t>
      </w:r>
    </w:p>
    <w:p>
      <w:pPr>
        <w:keepNext w:val="1"/>
        <w:spacing w:before="2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>Навідні: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«Покажіть рахунок клієнту з перевиставленими витратами»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«Фрахт і ваша обробка — одним рядком чи окремо?»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«Бувають витрати, що перевиставляєте без націнки?»</w:t>
      </w:r>
    </w:p>
    <w:p>
      <w:pPr>
        <w:spacing w:before="10" w:after="12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Відповідь: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_________________________________________________</w:t>
      </w:r>
    </w:p>
    <w:p>
      <w:pPr>
        <w:keepNext w:val="1"/>
        <w:spacing w:before="180" w:after="2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6. 🟡 Часткові оплати агентам (С1 — «частково або повністю»): як відстежуєте борг по кожному агенту і строки?</w:t>
      </w:r>
      <w:r>
        <w:rPr>
          <w:rFonts w:ascii="Times New Roman" w:cs="Times New Roman" w:eastAsia="Times New Roman" w:hAnsi="Times New Roman"/>
          <w:b w:val="1"/>
          <w:bCs w:val="1"/>
          <w:color w:val="595959"/>
          <w:sz w:val="20"/>
          <w:szCs w:val="20"/>
          <w:rtl w:val="0"/>
        </w:rPr>
        <w:t xml:space="preserve">  [вимоги]</w:t>
      </w:r>
    </w:p>
    <w:p>
      <w:pPr>
        <w:keepNext w:val="1"/>
        <w:spacing w:before="1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Навіщо: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>вимоги до AP-обліку заборгованості.</w:t>
      </w:r>
    </w:p>
    <w:p>
      <w:pPr>
        <w:keepNext w:val="1"/>
        <w:spacing w:before="2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>Навідні: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«Де бачите зараз, скільки винні конкретному агенту?»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«Строк оплати фіксований у рахунку чи домовляєтесь окремо?»</w:t>
      </w:r>
    </w:p>
    <w:p>
      <w:pPr>
        <w:spacing w:before="10" w:after="12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Відповідь: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_________________________________________________</w:t>
      </w:r>
    </w:p>
    <w:p>
      <w:pPr>
        <w:keepNext w:val="1"/>
        <w:spacing w:before="180" w:after="2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7. 🟡 Витрати, рахунок по яких ще не надійшов на момент роботи з відправкою (accrued): фіксуєте планову суму до приходу рахунку, а потім факт?</w:t>
      </w:r>
      <w:r>
        <w:rPr>
          <w:rFonts w:ascii="Times New Roman" w:cs="Times New Roman" w:eastAsia="Times New Roman" w:hAnsi="Times New Roman"/>
          <w:b w:val="1"/>
          <w:bCs w:val="1"/>
          <w:color w:val="595959"/>
          <w:sz w:val="20"/>
          <w:szCs w:val="20"/>
          <w:rtl w:val="0"/>
        </w:rPr>
        <w:t xml:space="preserve">  [процеси]</w:t>
      </w:r>
    </w:p>
    <w:p>
      <w:pPr>
        <w:keepNext w:val="1"/>
        <w:spacing w:before="1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Навіщо: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>момент, коли маржа стає «фактичною» (зв’язок із С5).</w:t>
      </w:r>
    </w:p>
    <w:p>
      <w:pPr>
        <w:keepNext w:val="1"/>
        <w:spacing w:before="2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>Навідні: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«Закрили відправку, а рахунок агента прийшов пізніше — що з маржею?»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«Ставите очікувану суму заздалегідь чи лише за фактом?»</w:t>
      </w:r>
    </w:p>
    <w:p>
      <w:pPr>
        <w:spacing w:before="10" w:after="12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Відповідь: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_________________________________________________</w:t>
      </w:r>
    </w:p>
    <w:p>
      <w:pPr>
        <w:keepNext w:val="1"/>
        <w:spacing w:before="180" w:after="2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8. 🟡 Хто погоджує платіж постачальнику/агенту перед банком? Є ліміт суми або друга людина на погодженні?</w:t>
      </w:r>
      <w:r>
        <w:rPr>
          <w:rFonts w:ascii="Times New Roman" w:cs="Times New Roman" w:eastAsia="Times New Roman" w:hAnsi="Times New Roman"/>
          <w:b w:val="1"/>
          <w:bCs w:val="1"/>
          <w:color w:val="595959"/>
          <w:sz w:val="20"/>
          <w:szCs w:val="20"/>
          <w:rtl w:val="0"/>
        </w:rPr>
        <w:t xml:space="preserve">  [ролі]</w:t>
      </w:r>
    </w:p>
    <w:p>
      <w:pPr>
        <w:keepNext w:val="1"/>
        <w:spacing w:before="1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Навіщо: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>вхід у матрицю прав (С5) і контроль платежів.</w:t>
      </w:r>
    </w:p>
    <w:p>
      <w:pPr>
        <w:keepNext w:val="1"/>
        <w:spacing w:before="2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>Навідні: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«Останній великий платіж фабриці — хто дозволив?»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«Є сума, вище якої потрібне ваше особисте підтвердження?»</w:t>
      </w:r>
    </w:p>
    <w:p>
      <w:pPr>
        <w:spacing w:before="10" w:after="12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Відповідь: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_________________________________________________</w:t>
      </w:r>
    </w:p>
    <w:p>
      <w:pPr>
        <w:keepNext w:val="1"/>
        <w:spacing w:before="180" w:after="2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9. ⚪ Чи потрібен зведений реєстр платежів «кому скільки винні / коли платити» окремо від карток відправок?</w:t>
      </w:r>
      <w:r>
        <w:rPr>
          <w:rFonts w:ascii="Times New Roman" w:cs="Times New Roman" w:eastAsia="Times New Roman" w:hAnsi="Times New Roman"/>
          <w:b w:val="1"/>
          <w:bCs w:val="1"/>
          <w:color w:val="595959"/>
          <w:sz w:val="20"/>
          <w:szCs w:val="20"/>
          <w:rtl w:val="0"/>
        </w:rPr>
        <w:t xml:space="preserve">  [вимоги]</w:t>
      </w:r>
    </w:p>
    <w:p>
      <w:pPr>
        <w:keepNext w:val="1"/>
        <w:spacing w:before="1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Навіщо: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>вимога до AP-реєстру і платіжного календаря.</w:t>
      </w:r>
    </w:p>
    <w:p>
      <w:pPr>
        <w:keepNext w:val="1"/>
        <w:spacing w:before="2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>Навідні: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«Де зараз бачите загальну суму боргів перед агентами — десь, окрім окремих рахунків?»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«Вам зручніше список боргів чи календар платежів за датами?»</w:t>
      </w:r>
    </w:p>
    <w:p>
      <w:pPr>
        <w:spacing w:before="10" w:after="12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Відповідь: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_________________________________________________</w:t>
      </w:r>
    </w:p>
    <w:p>
      <w:pPr>
        <w:keepNext w:val="1"/>
        <w:spacing w:before="200" w:after="80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color w:val="f05423"/>
          <w:sz w:val="26"/>
          <w:szCs w:val="26"/>
          <w:rtl w:val="0"/>
        </w:rPr>
        <w:t>3. Бухгалтерський облік Гонконгу (структура)</w:t>
      </w:r>
    </w:p>
    <w:p>
      <w:pPr>
        <w:keepNext w:val="1"/>
        <w:spacing w:before="180" w:after="2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10. 🔴 План рахунків Гонконгу: надасте готову структуру? Хто веде бухгалтерію — штат, аутсорс чи аудитор?</w:t>
      </w:r>
      <w:r>
        <w:rPr>
          <w:rFonts w:ascii="Times New Roman" w:cs="Times New Roman" w:eastAsia="Times New Roman" w:hAnsi="Times New Roman"/>
          <w:b w:val="1"/>
          <w:bCs w:val="1"/>
          <w:color w:val="595959"/>
          <w:sz w:val="20"/>
          <w:szCs w:val="20"/>
          <w:rtl w:val="0"/>
        </w:rPr>
        <w:t xml:space="preserve">  [дані]</w:t>
      </w:r>
      <w:r>
        <w:rPr>
          <w:rFonts w:ascii="Times New Roman" w:cs="Times New Roman" w:eastAsia="Times New Roman" w:hAnsi="Times New Roman"/>
          <w:b w:val="1"/>
          <w:bCs w:val="1"/>
          <w:color w:val="595959"/>
          <w:sz w:val="20"/>
          <w:szCs w:val="20"/>
          <w:rtl w:val="0"/>
        </w:rPr>
        <w:t xml:space="preserve">  (Q-3)</w:t>
      </w:r>
    </w:p>
    <w:p>
      <w:pPr>
        <w:keepNext w:val="1"/>
        <w:spacing w:before="1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Навіщо: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>основа налаштування Accounting; хто підтверджує облікові рішення.</w:t>
      </w:r>
    </w:p>
    <w:p>
      <w:pPr>
        <w:keepNext w:val="1"/>
        <w:spacing w:before="2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>Навідні: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«Є файл плану рахунків, який можна вивантажити?»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«Хто щомісяця закриває період — ви, штатний бухгалтер чи зовнішній?»</w:t>
      </w:r>
    </w:p>
    <w:p>
      <w:pPr>
        <w:spacing w:before="10" w:after="12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Відповідь: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_________________________________________________</w:t>
      </w:r>
    </w:p>
    <w:p>
      <w:pPr>
        <w:keepNext w:val="1"/>
        <w:spacing w:before="180" w:after="2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11. 🔴 Розмежування контурів: що йде у фінансовий облік, що в управлінський, що в бухгалтерський?</w:t>
      </w:r>
      <w:r>
        <w:rPr>
          <w:rFonts w:ascii="Times New Roman" w:cs="Times New Roman" w:eastAsia="Times New Roman" w:hAnsi="Times New Roman"/>
          <w:b w:val="1"/>
          <w:bCs w:val="1"/>
          <w:color w:val="595959"/>
          <w:sz w:val="20"/>
          <w:szCs w:val="20"/>
          <w:rtl w:val="0"/>
        </w:rPr>
        <w:t xml:space="preserve">  [вимоги]</w:t>
      </w:r>
    </w:p>
    <w:p>
      <w:pPr>
        <w:keepNext w:val="1"/>
        <w:spacing w:before="1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Навіщо: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>модель трьох контурів — ключова для конфігурації (D-6 — система виключно облікова).</w:t>
      </w:r>
    </w:p>
    <w:p>
      <w:pPr>
        <w:keepNext w:val="1"/>
        <w:spacing w:before="2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>Навідні: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«Маржа по відправці — це управлінський контур; бухгалтерський — для аудитора. Де проходить межа?»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«Що з цього бачить власник, а що лише бухгалтер?»</w:t>
      </w:r>
    </w:p>
    <w:p>
      <w:pPr>
        <w:spacing w:before="10" w:after="12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Відповідь: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_________________________________________________</w:t>
      </w:r>
    </w:p>
    <w:p>
      <w:pPr>
        <w:keepNext w:val="1"/>
        <w:spacing w:before="180" w:after="2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12. 🟡 Мультивалюта: усі валюти в обігу, база USD, курс банківський на момент операції — підтверджуємо, що курсові різниці окремо не ведуться (С1)?</w:t>
      </w:r>
      <w:r>
        <w:rPr>
          <w:rFonts w:ascii="Times New Roman" w:cs="Times New Roman" w:eastAsia="Times New Roman" w:hAnsi="Times New Roman"/>
          <w:b w:val="1"/>
          <w:bCs w:val="1"/>
          <w:color w:val="595959"/>
          <w:sz w:val="20"/>
          <w:szCs w:val="20"/>
          <w:rtl w:val="0"/>
        </w:rPr>
        <w:t xml:space="preserve">  [вимоги]</w:t>
      </w:r>
    </w:p>
    <w:p>
      <w:pPr>
        <w:keepNext w:val="1"/>
        <w:spacing w:before="1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Навіщо: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>підтвердження облікової політики валют (узгоджено з X-17, D-12).</w:t>
      </w:r>
    </w:p>
    <w:p>
      <w:pPr>
        <w:keepNext w:val="1"/>
        <w:spacing w:before="2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>Навідні: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«Які валюти реально в обігу, крім USD і юаня?»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«Курс берете з банку чи завантажуєте довідник?»</w:t>
      </w:r>
    </w:p>
    <w:p>
      <w:pPr>
        <w:spacing w:before="10" w:after="12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Відповідь: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_________________________________________________</w:t>
      </w:r>
    </w:p>
    <w:p>
      <w:pPr>
        <w:keepNext w:val="1"/>
        <w:spacing w:before="180" w:after="2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13. 🟡 «Консолідація для аудиторів»: який формат вивантаження потрібен і з якою періодичністю? (звітність — на боці аудиторів, не в Odoo)</w:t>
      </w:r>
      <w:r>
        <w:rPr>
          <w:rFonts w:ascii="Times New Roman" w:cs="Times New Roman" w:eastAsia="Times New Roman" w:hAnsi="Times New Roman"/>
          <w:b w:val="1"/>
          <w:bCs w:val="1"/>
          <w:color w:val="595959"/>
          <w:sz w:val="20"/>
          <w:szCs w:val="20"/>
          <w:rtl w:val="0"/>
        </w:rPr>
        <w:t xml:space="preserve">  [вимоги]</w:t>
      </w:r>
    </w:p>
    <w:p>
      <w:pPr>
        <w:keepNext w:val="1"/>
        <w:spacing w:before="1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Навіщо: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>межа «Odoo консолідує / аудитор звітує».</w:t>
      </w:r>
    </w:p>
    <w:p>
      <w:pPr>
        <w:keepNext w:val="1"/>
        <w:spacing w:before="2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>Навідні: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«Що саме передаєте аудитору — оборотку, виписки, реєстри?»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«Раз на місяць, квартал, рік?»</w:t>
      </w:r>
    </w:p>
    <w:p>
      <w:pPr>
        <w:spacing w:before="10" w:after="12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Відповідь: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_________________________________________________</w:t>
      </w:r>
    </w:p>
    <w:p>
      <w:pPr>
        <w:keepNext w:val="1"/>
        <w:spacing w:before="180" w:after="2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14. 🟡 Як закриваєте період (місяць) і які звіти потрібні на закриття?</w:t>
      </w:r>
      <w:r>
        <w:rPr>
          <w:rFonts w:ascii="Times New Roman" w:cs="Times New Roman" w:eastAsia="Times New Roman" w:hAnsi="Times New Roman"/>
          <w:b w:val="1"/>
          <w:bCs w:val="1"/>
          <w:color w:val="595959"/>
          <w:sz w:val="20"/>
          <w:szCs w:val="20"/>
          <w:rtl w:val="0"/>
        </w:rPr>
        <w:t xml:space="preserve">  [процеси]</w:t>
      </w:r>
    </w:p>
    <w:p>
      <w:pPr>
        <w:keepNext w:val="1"/>
        <w:spacing w:before="1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Навіщо: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>процедура закриття періоду в Odoo.</w:t>
      </w:r>
    </w:p>
    <w:p>
      <w:pPr>
        <w:keepNext w:val="1"/>
        <w:spacing w:before="2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>Навідні: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«Що перевіряєте перед тим, як вважати місяць закритим?»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«Хто фізично закриває період?»</w:t>
      </w:r>
    </w:p>
    <w:p>
      <w:pPr>
        <w:spacing w:before="10" w:after="12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Відповідь: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_________________________________________________</w:t>
      </w:r>
    </w:p>
    <w:p>
      <w:pPr>
        <w:keepNext w:val="1"/>
        <w:spacing w:before="180" w:after="2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15. ⚪ Податковий контур Гонконгу (profits tax): чи потрібні податкові ознаки в обліку?</w:t>
      </w:r>
      <w:r>
        <w:rPr>
          <w:rFonts w:ascii="Times New Roman" w:cs="Times New Roman" w:eastAsia="Times New Roman" w:hAnsi="Times New Roman"/>
          <w:b w:val="1"/>
          <w:bCs w:val="1"/>
          <w:color w:val="595959"/>
          <w:sz w:val="20"/>
          <w:szCs w:val="20"/>
          <w:rtl w:val="0"/>
        </w:rPr>
        <w:t xml:space="preserve">  [вимоги]</w:t>
      </w:r>
    </w:p>
    <w:p>
      <w:pPr>
        <w:keepNext w:val="1"/>
        <w:spacing w:before="1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Навіщо: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>чи зачіпає податок структуру обліку (за словами власника діяльність проста).</w:t>
      </w:r>
    </w:p>
    <w:p>
      <w:pPr>
        <w:keepNext w:val="1"/>
        <w:spacing w:before="2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>Навідні: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«Чи виділяєте суми податку в обліку взагалі?»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«Аудитор просить якісь податкові ознаки у проводках чи рахує податок поза системою?»</w:t>
      </w:r>
    </w:p>
    <w:p>
      <w:pPr>
        <w:spacing w:before="10" w:after="12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Відповідь: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_________________________________________________</w:t>
      </w:r>
    </w:p>
    <w:p>
      <w:pPr>
        <w:keepNext w:val="1"/>
        <w:spacing w:before="200" w:after="80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color w:val="f05423"/>
          <w:sz w:val="26"/>
          <w:szCs w:val="26"/>
          <w:rtl w:val="0"/>
        </w:rPr>
        <w:t>4. Банк, каса, валютні операції, довідники</w:t>
      </w:r>
    </w:p>
    <w:p>
      <w:pPr>
        <w:keepNext w:val="1"/>
        <w:spacing w:before="180" w:after="2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16. 🟡 Банківсько-касовий контур: перекази між власними рахунками, зняття та внесення готівки, банківські комісії — підтвердити перелік документів (списання/зарахування) з С1.</w:t>
      </w:r>
      <w:r>
        <w:rPr>
          <w:rFonts w:ascii="Times New Roman" w:cs="Times New Roman" w:eastAsia="Times New Roman" w:hAnsi="Times New Roman"/>
          <w:b w:val="1"/>
          <w:bCs w:val="1"/>
          <w:color w:val="595959"/>
          <w:sz w:val="20"/>
          <w:szCs w:val="20"/>
          <w:rtl w:val="0"/>
        </w:rPr>
        <w:t xml:space="preserve">  [вимоги]</w:t>
      </w:r>
    </w:p>
    <w:p>
      <w:pPr>
        <w:keepNext w:val="1"/>
        <w:spacing w:before="1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Навіщо: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>повний перелік грошових документів для конфігурації.</w:t>
      </w:r>
    </w:p>
    <w:p>
      <w:pPr>
        <w:keepNext w:val="1"/>
        <w:spacing w:before="2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>Навідні: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«Які ще рухи коштів є, крім оплат по відправках і конвертації?»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«Банк-комісія — окремий рядок у кожному русі?»</w:t>
      </w:r>
    </w:p>
    <w:p>
      <w:pPr>
        <w:spacing w:before="10" w:after="12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Відповідь: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_________________________________________________</w:t>
      </w:r>
    </w:p>
    <w:p>
      <w:pPr>
        <w:keepNext w:val="1"/>
        <w:spacing w:before="180" w:after="2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17. 🟡 Довідник рахунків для оплати (банк, валюта): структура і як обирається рахунок при виставленні вихідного рахунку (залежно від клієнта)?</w:t>
      </w:r>
      <w:r>
        <w:rPr>
          <w:rFonts w:ascii="Times New Roman" w:cs="Times New Roman" w:eastAsia="Times New Roman" w:hAnsi="Times New Roman"/>
          <w:b w:val="1"/>
          <w:bCs w:val="1"/>
          <w:color w:val="595959"/>
          <w:sz w:val="20"/>
          <w:szCs w:val="20"/>
          <w:rtl w:val="0"/>
        </w:rPr>
        <w:t xml:space="preserve">  [дані]</w:t>
      </w:r>
      <w:r>
        <w:rPr>
          <w:rFonts w:ascii="Times New Roman" w:cs="Times New Roman" w:eastAsia="Times New Roman" w:hAnsi="Times New Roman"/>
          <w:b w:val="1"/>
          <w:bCs w:val="1"/>
          <w:color w:val="595959"/>
          <w:sz w:val="20"/>
          <w:szCs w:val="20"/>
          <w:rtl w:val="0"/>
        </w:rPr>
        <w:t xml:space="preserve">  (Q-12)</w:t>
      </w:r>
    </w:p>
    <w:p>
      <w:pPr>
        <w:keepNext w:val="1"/>
        <w:spacing w:before="1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Навіщо: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>модель вибору рахунку у формі рахунку (з С1 — обирає бухгалтер).</w:t>
      </w:r>
    </w:p>
    <w:p>
      <w:pPr>
        <w:keepNext w:val="1"/>
        <w:spacing w:before="2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>Навідні: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«Скільки у вас рахунків для прийому оплат і чим відрізняються?»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«За яким принципом обираєте, на який рахунок виставити?»</w:t>
      </w:r>
    </w:p>
    <w:p>
      <w:pPr>
        <w:spacing w:before="10" w:after="12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Відповідь: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_________________________________________________</w:t>
      </w:r>
    </w:p>
    <w:p>
      <w:pPr>
        <w:keepNext w:val="1"/>
        <w:spacing w:before="180" w:after="2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18. 🟡 Обов’язкові поля картки контрагента (постачальник/агент/фабрика); один контрагент може мати кілька банківських рахунків у різних валютах — як зберігати й обирати при платежі?</w:t>
      </w:r>
      <w:r>
        <w:rPr>
          <w:rFonts w:ascii="Times New Roman" w:cs="Times New Roman" w:eastAsia="Times New Roman" w:hAnsi="Times New Roman"/>
          <w:b w:val="1"/>
          <w:bCs w:val="1"/>
          <w:color w:val="595959"/>
          <w:sz w:val="20"/>
          <w:szCs w:val="20"/>
          <w:rtl w:val="0"/>
        </w:rPr>
        <w:t xml:space="preserve">  [дані]</w:t>
      </w:r>
      <w:r>
        <w:rPr>
          <w:rFonts w:ascii="Times New Roman" w:cs="Times New Roman" w:eastAsia="Times New Roman" w:hAnsi="Times New Roman"/>
          <w:b w:val="1"/>
          <w:bCs w:val="1"/>
          <w:color w:val="595959"/>
          <w:sz w:val="20"/>
          <w:szCs w:val="20"/>
          <w:rtl w:val="0"/>
        </w:rPr>
        <w:t xml:space="preserve">  (Q-11)</w:t>
      </w:r>
    </w:p>
    <w:p>
      <w:pPr>
        <w:keepNext w:val="1"/>
        <w:spacing w:before="1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Навіщо: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>структура єдиного довідника контрагентів (D-14) для платежів і документів.</w:t>
      </w:r>
    </w:p>
    <w:p>
      <w:pPr>
        <w:keepNext w:val="1"/>
        <w:spacing w:before="2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>Навідні: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«Які поля завжди заповнюєте для нового агента?»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«Фабрика дала кілька рахунків — як обираєте, на який платити?»</w:t>
      </w:r>
    </w:p>
    <w:p>
      <w:pPr>
        <w:spacing w:before="10" w:after="12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Відповідь: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_________________________________________________</w:t>
      </w:r>
    </w:p>
    <w:p>
      <w:pPr>
        <w:keepNext w:val="1"/>
        <w:spacing w:before="200" w:after="80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color w:val="f05423"/>
          <w:sz w:val="26"/>
          <w:szCs w:val="26"/>
          <w:rtl w:val="0"/>
        </w:rPr>
        <w:t>5. Межі та підготовка наступних сесій</w:t>
      </w:r>
    </w:p>
    <w:p>
      <w:pPr>
        <w:keepNext w:val="1"/>
        <w:spacing w:before="180" w:after="2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19. ⚪ Що з облікової моделі (агентська закупівля, контури, валюти) впливає на торгівлю (С4) і AR/прибутковість (С5) — позначити для наступних сесій.</w:t>
      </w:r>
      <w:r>
        <w:rPr>
          <w:rFonts w:ascii="Times New Roman" w:cs="Times New Roman" w:eastAsia="Times New Roman" w:hAnsi="Times New Roman"/>
          <w:b w:val="1"/>
          <w:bCs w:val="1"/>
          <w:color w:val="595959"/>
          <w:sz w:val="20"/>
          <w:szCs w:val="20"/>
          <w:rtl w:val="0"/>
        </w:rPr>
        <w:t xml:space="preserve">  [рішення]</w:t>
      </w:r>
    </w:p>
    <w:p>
      <w:pPr>
        <w:keepNext w:val="1"/>
        <w:spacing w:before="1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Навіщо: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>передати вхід далі по циклу.</w:t>
      </w:r>
    </w:p>
    <w:p>
      <w:pPr>
        <w:keepNext w:val="1"/>
        <w:spacing w:before="20" w:after="1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>Навідні: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«Чи та сама логіка собівартості, що в агентській закупівлі, працює для звичайної торгівлі?»</w:t>
      </w:r>
    </w:p>
    <w:p>
      <w:pPr>
        <w:spacing w:after="10"/>
        <w:ind w:left="72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→ «Що з валют і контурів варто пам’ятати, коли рахуватимемо маржу по відправці?»</w:t>
      </w:r>
    </w:p>
    <w:p>
      <w:pPr>
        <w:spacing w:before="10" w:after="120"/>
        <w:ind w:left="360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95959"/>
          <w:sz w:val="20"/>
          <w:szCs w:val="20"/>
          <w:rtl w:val="0"/>
        </w:rPr>
        <w:t xml:space="preserve">Відповідь: </w:t>
      </w:r>
      <w:r>
        <w:rPr>
          <w:rFonts w:ascii="Times New Roman" w:cs="Times New Roman" w:eastAsia="Times New Roman" w:hAnsi="Times New Roman"/>
          <w:color w:val="595959"/>
          <w:sz w:val="20"/>
          <w:szCs w:val="20"/>
          <w:rtl w:val="0"/>
        </w:rPr>
        <w:t xml:space="preserve">_________________________________________________</w:t>
      </w:r>
    </w:p>
    <w:p>
      <w:pPr>
        <w:pBdr>
          <w:bottom w:val="single" w:sz="6" w:space="6" w:color="CCCCCC"/>
        </w:pBdr>
        <w:spacing w:before="80" w:after="80"/>
      </w:pPr>
    </w:p>
    <w:p>
      <w:pPr>
        <w:keepNext w:val="1"/>
        <w:spacing w:before="200" w:after="80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color w:val="f05423"/>
          <w:sz w:val="26"/>
          <w:szCs w:val="26"/>
          <w:rtl w:val="0"/>
        </w:rPr>
        <w:t>Карта покриття цілі сесії</w:t>
      </w:r>
    </w:p>
    <w:tbl>
      <w:tblPr>
        <w:tblStyle w:val="Table1"/>
        <w:tblW w:w="9061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020"/>
        <w:gridCol w:w="3020"/>
        <w:gridCol w:w="3021"/>
      </w:tblGrid>
      <w:tr>
        <w:trPr>
          <w:tblHeader w:val="1"/>
        </w:trPr>
        <w:tc>
          <w:tcPr>
            <w:tcW w:w="3020" w:type="dxa"/>
            <w:shd w:fill="d9d9d9" w:val="clear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>Елемент плану (v1.1, С2)</w:t>
            </w:r>
          </w:p>
        </w:tc>
        <w:tc>
          <w:tcPr>
            <w:tcW w:w="3020" w:type="dxa"/>
            <w:shd w:fill="d9d9d9" w:val="clear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>Покрито питаннями?</w:t>
            </w:r>
          </w:p>
        </w:tc>
        <w:tc>
          <w:tcPr>
            <w:tcW w:w="3021" w:type="dxa"/>
            <w:shd w:fill="d9d9d9" w:val="clear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19"/>
                <w:szCs w:val="19"/>
                <w:rtl w:val="0"/>
              </w:rPr>
              <w:t>Чим</w:t>
            </w:r>
          </w:p>
        </w:tc>
      </w:tr>
      <w:tr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Ціль: «облікова трактовка агентської закупівлі + структура бухобліку; формалізувати AP і реєстр платежів; банк/каса»</w:t>
            </w:r>
          </w:p>
        </w:tc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✅</w:t>
            </w:r>
          </w:p>
        </w:tc>
        <w:tc>
          <w:tcPr>
            <w:tcW w:w="3021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1–3 (агентська), 4–9 (AP), 10–15 (Гонконг), 16–18 (банк/каса)</w:t>
            </w:r>
          </w:p>
        </w:tc>
      </w:tr>
      <w:tr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Результат: «облікова модель агентської закупівлі (підтверджена бухгалтером)»</w:t>
            </w:r>
          </w:p>
        </w:tc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✅</w:t>
            </w:r>
          </w:p>
        </w:tc>
        <w:tc>
          <w:tcPr>
            <w:tcW w:w="3021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1 (+ участь бухгалтера)</w:t>
            </w:r>
          </w:p>
        </w:tc>
      </w:tr>
      <w:tr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Результат: «вимоги до AP + реєстру платежів»</w:t>
            </w:r>
          </w:p>
        </w:tc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✅</w:t>
            </w:r>
          </w:p>
        </w:tc>
        <w:tc>
          <w:tcPr>
            <w:tcW w:w="3021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4, 6, 7, 8, 9</w:t>
            </w:r>
          </w:p>
        </w:tc>
      </w:tr>
      <w:tr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Результат: «рекомендація з Accounting (CoA, валюти, контури, межа консолідації)»</w:t>
            </w:r>
          </w:p>
        </w:tc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✅</w:t>
            </w:r>
          </w:p>
        </w:tc>
        <w:tc>
          <w:tcPr>
            <w:tcW w:w="3021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10, 11, 12, 13, 14, 15</w:t>
            </w:r>
          </w:p>
        </w:tc>
      </w:tr>
      <w:tr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Заготовка (стара С2): схема грошей агентської закупівлі</w:t>
            </w:r>
          </w:p>
        </w:tc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✅ знято як пройдене на С1</w:t>
            </w:r>
          </w:p>
        </w:tc>
        <w:tc>
          <w:tcPr>
            <w:tcW w:w="3021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рамка в «Контексті циклу»; лишилось 1</w:t>
            </w:r>
          </w:p>
        </w:tc>
      </w:tr>
      <w:tr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Заготовка (стара С2): виручка чи транзит, винагорода</w:t>
            </w:r>
          </w:p>
        </w:tc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✅ розгорнуто</w:t>
            </w:r>
          </w:p>
        </w:tc>
        <w:tc>
          <w:tcPr>
            <w:tcW w:w="3021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1</w:t>
            </w:r>
          </w:p>
        </w:tc>
      </w:tr>
      <w:tr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Заготовка (стара С2): розрахунки з виробником (передоплата, валюта, хто погоджує)</w:t>
            </w:r>
          </w:p>
        </w:tc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✅ розгорнуто</w:t>
            </w:r>
          </w:p>
        </w:tc>
        <w:tc>
          <w:tcPr>
            <w:tcW w:w="3021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2, 3, 8</w:t>
            </w:r>
          </w:p>
        </w:tc>
      </w:tr>
      <w:tr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Заготовка (стара С2): кілька витратних документів, дублі</w:t>
            </w:r>
          </w:p>
        </w:tc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✅ розгорнуто</w:t>
            </w:r>
          </w:p>
        </w:tc>
        <w:tc>
          <w:tcPr>
            <w:tcW w:w="3021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4</w:t>
            </w:r>
          </w:p>
        </w:tc>
      </w:tr>
      <w:tr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Заготовка (стара С2): перевиставлення з націнкою</w:t>
            </w:r>
          </w:p>
        </w:tc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✅ розгорнуто</w:t>
            </w:r>
          </w:p>
        </w:tc>
        <w:tc>
          <w:tcPr>
            <w:tcW w:w="3021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5</w:t>
            </w:r>
          </w:p>
        </w:tc>
      </w:tr>
      <w:tr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Заготовка (стара С3): план рахунків, хто веде</w:t>
            </w:r>
          </w:p>
        </w:tc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✅ розгорнуто</w:t>
            </w:r>
          </w:p>
        </w:tc>
        <w:tc>
          <w:tcPr>
            <w:tcW w:w="3021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10</w:t>
            </w:r>
          </w:p>
        </w:tc>
      </w:tr>
      <w:tr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Заготовка (стара С3): контури обліку</w:t>
            </w:r>
          </w:p>
        </w:tc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✅ розгорнуто</w:t>
            </w:r>
          </w:p>
        </w:tc>
        <w:tc>
          <w:tcPr>
            <w:tcW w:w="3021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11</w:t>
            </w:r>
          </w:p>
        </w:tc>
      </w:tr>
      <w:tr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Заготовка (стара С3): мультивалюта, курсові різниці</w:t>
            </w:r>
          </w:p>
        </w:tc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✅ розгорнуто</w:t>
            </w:r>
          </w:p>
        </w:tc>
        <w:tc>
          <w:tcPr>
            <w:tcW w:w="3021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12</w:t>
            </w:r>
          </w:p>
        </w:tc>
      </w:tr>
      <w:tr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Заготовка (стара С3): консолідація для аудиторів</w:t>
            </w:r>
          </w:p>
        </w:tc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✅ розгорнуто</w:t>
            </w:r>
          </w:p>
        </w:tc>
        <w:tc>
          <w:tcPr>
            <w:tcW w:w="3021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13</w:t>
            </w:r>
          </w:p>
        </w:tc>
      </w:tr>
      <w:tr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Заготовка (стара С3): закриття періоду</w:t>
            </w:r>
          </w:p>
        </w:tc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✅ розгорнуто</w:t>
            </w:r>
          </w:p>
        </w:tc>
        <w:tc>
          <w:tcPr>
            <w:tcW w:w="3021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14</w:t>
            </w:r>
          </w:p>
        </w:tc>
      </w:tr>
      <w:tr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Заготовка (стара С3): податковий контур</w:t>
            </w:r>
          </w:p>
        </w:tc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✅ розгорнуто</w:t>
            </w:r>
          </w:p>
        </w:tc>
        <w:tc>
          <w:tcPr>
            <w:tcW w:w="3021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15</w:t>
            </w:r>
          </w:p>
        </w:tc>
      </w:tr>
      <w:tr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Перенесене по темі: Q-1, Q-3, Q-11, Q-12</w:t>
            </w:r>
          </w:p>
        </w:tc>
        <w:tc>
          <w:tcPr>
            <w:tcW w:w="3020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✅ всі включені</w:t>
            </w:r>
          </w:p>
        </w:tc>
        <w:tc>
          <w:tcPr>
            <w:tcW w:w="3021" w:type="dxa"/>
          </w:tcPr>
          <w:p>
            <w:pPr>
              <w:spacing w:after="2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>1, 10, 18, 17</w:t>
            </w:r>
          </w:p>
        </w:tc>
      </w:tr>
    </w:tbl>
    <w:p>
      <w:pPr>
        <w:spacing w:after="40"/>
        <w:rPr>
          <w:rFonts w:ascii="Times New Roman" w:cs="Times New Roman" w:eastAsia="Times New Roman" w:hAnsi="Times New Roman"/>
          <w:sz w:val="12"/>
          <w:szCs w:val="12"/>
        </w:rPr>
      </w:pPr>
    </w:p>
    <w:p>
      <w:pPr>
        <w:keepNext w:val="1"/>
        <w:spacing w:before="140" w:after="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color w:val="3497db"/>
          <w:sz w:val="24"/>
          <w:szCs w:val="24"/>
          <w:rtl w:val="0"/>
        </w:rPr>
        <w:t>Прогалини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Ціль об’єднаної сесії покрита повністю. Глибока механіка стейтментів і відстрочок клієнтам (AR) — свідомо С5; landed cost — свідомо С4.</w:t>
      </w:r>
    </w:p>
    <w:p>
      <w:pPr>
        <w:pBdr>
          <w:bottom w:val="single" w:sz="6" w:space="6" w:color="CCCCCC"/>
        </w:pBdr>
        <w:spacing w:before="80" w:after="80"/>
      </w:pPr>
    </w:p>
    <w:p>
      <w:pPr>
        <w:keepNext w:val="1"/>
        <w:spacing w:before="200" w:after="80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color w:val="f05423"/>
          <w:sz w:val="26"/>
          <w:szCs w:val="26"/>
          <w:rtl w:val="0"/>
        </w:rPr>
        <w:t>Парковка (інші сесії)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rtl w:val="0"/>
        </w:rPr>
        <w:t>→ Стейтменти, аванси/відстрочки клієнтам, повна механіка маржі — Сесія 5 (Q-8)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rtl w:val="0"/>
        </w:rPr>
        <w:t>→ Товарна партія + landed cost — Сесія 4 (Q-13)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rtl w:val="0"/>
        </w:rPr>
        <w:t>→ Помісячний звіт по закритих відправках для ЗП — Сесія 5 (Q-14)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2"/>
          <w:szCs w:val="22"/>
        </w:rPr>
      </w:pPr>
      <w:r>
        <w:rPr>
          <w:rFonts w:ascii="Times New Roman" w:cs="Times New Roman" w:eastAsia="Times New Roman" w:hAnsi="Times New Roman"/>
          <w:sz w:val="22"/>
          <w:szCs w:val="22"/>
          <w:rtl w:val="0"/>
        </w:rPr>
        <w:t>→ Формат/обсяг завантаження довідників і залишків, дата cutover — Сесія 7 (Q-9)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Усі питання парковки мають ID у журналі — нові Q-N не створювались.</w:t>
      </w:r>
    </w:p>
    <w:p>
      <w:pPr>
        <w:keepNext w:val="1"/>
        <w:spacing w:before="200" w:after="80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color w:val="f05423"/>
          <w:sz w:val="26"/>
          <w:szCs w:val="26"/>
          <w:rtl w:val="0"/>
        </w:rPr>
        <w:t>Сигнали для BA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Бухгалтер критичний: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питання 1 і 10–15 без бухгалтера/аудитора зависнуть. Якщо його не буде — облікову розвилку (1) і план рахунків (10–11) доведеться перенести; попередь про це на початку.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Сесія об’ємна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(агентська + AP + Гонконг + банк/каса). Якщо не вкладаєтесь — банк/касу (16–18) винести у хвіст або в С5; пріоритет — облікова трактовка (1) і контури/CoA (10–11).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Комерційний параметр: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конкретний % винагороди звучав на С1 — у клієнтські документи/звіти не виносити; у питаннях фокус на механіці обліку, не на ставці.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Не тиснути на трактовку: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якщо власник/бухгалтер вагаються (1) — зафіксувати обидва варіанти і їх наслідки, рішення винести письмово; не нав’язувати на зустрічі.</w:t>
      </w:r>
    </w:p>
    <w:p>
      <w:pPr>
        <w:keepNext w:val="1"/>
        <w:spacing w:before="200" w:after="80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color w:val="f05423"/>
          <w:sz w:val="26"/>
          <w:szCs w:val="26"/>
          <w:rtl w:val="0"/>
        </w:rPr>
        <w:t>Anti-repeat</w:t>
      </w:r>
    </w:p>
    <w:p>
      <w:pPr>
        <w:spacing w:after="4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Знято/не включено свідомо: повторний прохід процесу агентської закупівлі (Станіслав описав схему на С1 — лишили тільки облікову розвилку №1 + 2 уточнення); керування ставками (X-11), банк-інтеграції (X-3), штрафні санкції (X-8), payroll (X-15). Рішення D-11 (прив’язка за № транспортного документа), D-12 (конвертація окремим документом, USD), D-14 (єдиний довідник) — поглиблюються (№4, 3, 18), не повторюються. Питання 12 про курсові різниці — підтвердження вже відомого з С1 (X-17), не нова розвідка. Збережено легітимні повтори з ID: Q-1 (№1), Q-3 (№10), Q-11 (№18), Q-12 (№17).</w:t>
      </w:r>
    </w:p>
    <w:p>
      <w:pPr>
        <w:pBdr>
          <w:bottom w:val="single" w:sz="6" w:space="6" w:color="CCCCCC"/>
        </w:pBdr>
        <w:spacing w:before="80" w:after="80"/>
      </w:pPr>
    </w:p>
    <w:p>
      <w:pPr>
        <w:keepNext w:val="1"/>
        <w:spacing w:before="200" w:after="80"/>
        <w:rPr>
          <w:rFonts w:ascii="Times New Roman" w:cs="Times New Roman" w:eastAsia="Times New Roman" w:hAnsi="Times New Roman"/>
          <w:sz w:val="26"/>
          <w:szCs w:val="26"/>
        </w:rPr>
      </w:pPr>
      <w:r>
        <w:rPr>
          <w:rFonts w:ascii="Times New Roman" w:cs="Times New Roman" w:eastAsia="Times New Roman" w:hAnsi="Times New Roman"/>
          <w:b w:val="1"/>
          <w:bCs w:val="1"/>
          <w:color w:val="f05423"/>
          <w:sz w:val="26"/>
          <w:szCs w:val="26"/>
          <w:rtl w:val="0"/>
        </w:rPr>
        <w:t>Чого НЕ робити з цим опитувальником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надсилати клієнту — для клієнта є </w:t>
      </w:r>
      <w:r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>session-client-prep-builder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(лист підготовки)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>Не зачитувати підряд — це орієнтир для живої розмови</w:t>
      </w:r>
    </w:p>
    <w:p>
      <w:pPr>
        <w:spacing w:after="20"/>
        <w:ind w:left="36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>Не питати про виключене зі scope (X-N) — для перегляду виключень є окрема розмова BA з клієнтом</w:t>
      </w:r>
    </w:p>
    <w:sectPr>
      <w:headerReference r:id="rId15" w:type="default"/>
      <w:footerReference r:id="rId16" w:type="default"/>
      <w:pgSz w:h="16838" w:w="11906" w:orient="portrait"/>
      <w:pgMar w:bottom="850" w:top="850" w:left="1418" w:right="1416" w:header="283" w:footer="0" w:gut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592.0" w:type="dxa"/>
      <w:jc w:val="left"/>
      <w:tblInd w:w="-284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816"/>
      <w:gridCol w:w="7776"/>
      <w:tblGridChange w:id="0">
        <w:tblGrid>
          <w:gridCol w:w="2816"/>
          <w:gridCol w:w="7776"/>
        </w:tblGrid>
      </w:tblGridChange>
    </w:tblGrid>
    <w:tr>
      <w:trPr>
        <w:cantSplit w:val="0"/>
        <w:trHeight w:val="286" w:hRule="atLeast"/>
        <w:tblHeader w:val="0"/>
      </w:trPr>
      <w:tc>
        <w:tcPr/>
        <w:p w:rsidR="00000000" w:rsidDel="00000000" w:rsidP="00000000" w:rsidRDefault="00000000" w:rsidRPr="00000000" w14:paraId="0000009D">
          <w:pPr>
            <w:spacing w:line="276" w:lineRule="auto"/>
            <w:ind w:right="-113"/>
            <w:rPr>
              <w:rFonts w:ascii="Open Sans" w:cs="Open Sans" w:eastAsia="Open Sans" w:hAnsi="Open Sans"/>
              <w:color w:val="bfbfbf"/>
              <w:sz w:val="18"/>
              <w:szCs w:val="18"/>
            </w:rPr>
          </w:pP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color w:val="bfbfbf"/>
              <w:sz w:val="18"/>
              <w:szCs w:val="18"/>
              <w:rtl w:val="0"/>
            </w:rPr>
            <w:t xml:space="preserve">ToDo: </w:t>
          </w:r>
          <w:r w:rsidDel="00000000" w:rsidR="00000000" w:rsidRPr="00000000">
            <w:rPr>
              <w:rFonts w:ascii="Open Sans" w:cs="Open Sans" w:eastAsia="Open Sans" w:hAnsi="Open Sans"/>
              <w:color w:val="bfbfbf"/>
              <w:sz w:val="18"/>
              <w:szCs w:val="18"/>
              <w:rtl w:val="0"/>
            </w:rPr>
            <w:t xml:space="preserve">Too easy do simple</w:t>
          </w:r>
        </w:p>
      </w:tc>
      <w:tc>
        <w:tcPr/>
        <w:p w:rsidR="00000000" w:rsidDel="00000000" w:rsidP="00000000" w:rsidRDefault="00000000" w:rsidRPr="00000000" w14:paraId="0000009E">
          <w:pPr>
            <w:spacing w:line="276" w:lineRule="auto"/>
            <w:rPr>
              <w:rFonts w:ascii="Open Sans" w:cs="Open Sans" w:eastAsia="Open Sans" w:hAnsi="Open Sans"/>
              <w:color w:val="bfbfbf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1</wp:posOffset>
                    </wp:positionH>
                    <wp:positionV relativeFrom="paragraph">
                      <wp:posOffset>63500</wp:posOffset>
                    </wp:positionV>
                    <wp:extent cx="4567125" cy="23925"/>
                    <wp:effectExtent b="0" l="0" r="0" t="0"/>
                    <wp:wrapNone/>
                    <wp:docPr id="2" name=""/>
                    <a:graphic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3067200" y="3772800"/>
                              <a:ext cx="4557600" cy="144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1</wp:posOffset>
                    </wp:positionH>
                    <wp:positionV relativeFrom="paragraph">
                      <wp:posOffset>63500</wp:posOffset>
                    </wp:positionV>
                    <wp:extent cx="4567125" cy="23925"/>
                    <wp:effectExtent b="0" l="0" r="0" t="0"/>
                    <wp:wrapNone/>
                    <wp:docPr id="2" name="image11.png"/>
                    <a:graphic>
                      <a:graphicData uri="http://schemas.openxmlformats.org/drawingml/2006/picture">
                        <pic:pic>
                          <pic:nvPicPr>
                            <pic:cNvPr id="0" name="image1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67125" cy="2392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</w:p>
      </w:tc>
    </w:tr>
  </w:tbl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6160770</wp:posOffset>
          </wp:positionH>
          <wp:positionV relativeFrom="paragraph">
            <wp:posOffset>-1430019</wp:posOffset>
          </wp:positionV>
          <wp:extent cx="774700" cy="80772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774700" cy="8077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-901699</wp:posOffset>
              </wp:positionH>
              <wp:positionV relativeFrom="paragraph">
                <wp:posOffset>-342899</wp:posOffset>
              </wp:positionV>
              <wp:extent cx="7774304" cy="50228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63611" y="3533621"/>
                        <a:ext cx="7764779" cy="492759"/>
                      </a:xfrm>
                      <a:prstGeom prst="rect">
                        <a:avLst/>
                      </a:prstGeom>
                      <a:solidFill>
                        <a:srgbClr val="F7F6F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-901699</wp:posOffset>
              </wp:positionH>
              <wp:positionV relativeFrom="paragraph">
                <wp:posOffset>-342899</wp:posOffset>
              </wp:positionV>
              <wp:extent cx="7774304" cy="502284"/>
              <wp:effectExtent b="0" l="0" r="0" t="0"/>
              <wp:wrapNone/>
              <wp:docPr id="1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4304" cy="50228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i w:val="1"/>
        <w:iCs w:val="1"/>
        <w:sz w:val="28"/>
        <w:szCs w:val="28"/>
        <w:highlight w:val="yellow"/>
      </w:rPr>
    </w:pPr>
    <w:r w:rsidDel="00000000" w:rsidR="00000000" w:rsidRPr="00000000">
      <w:rPr>
        <w:rtl w:val="0"/>
      </w:rPr>
    </w:r>
  </w:p>
  <w:tbl>
    <w:tblPr>
      <w:tblStyle w:val="Table5"/>
      <w:tblW w:w="9924.0" w:type="dxa"/>
      <w:jc w:val="left"/>
      <w:tblInd w:w="-426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5194"/>
      <w:gridCol w:w="4730"/>
      <w:tblGridChange w:id="0">
        <w:tblGrid>
          <w:gridCol w:w="5194"/>
          <w:gridCol w:w="4730"/>
        </w:tblGrid>
      </w:tblGridChange>
    </w:tblGrid>
    <w:tr>
      <w:trPr>
        <w:cantSplit w:val="0"/>
        <w:trHeight w:val="1087" w:hRule="atLeast"/>
        <w:tblHeader w:val="0"/>
      </w:trPr>
      <w:tc>
        <w:tcPr/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-251" w:right="0" w:firstLine="142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306705</wp:posOffset>
                </wp:positionH>
                <wp:positionV relativeFrom="paragraph">
                  <wp:posOffset>173355</wp:posOffset>
                </wp:positionV>
                <wp:extent cx="1871450" cy="732306"/>
                <wp:effectExtent b="0" l="0" r="0" t="0"/>
                <wp:wrapNone/>
                <wp:docPr id="1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1450" cy="7323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м. Київ, просп. Соборності 7А, оф. 105</w:t>
          </w:r>
        </w:p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+38 (073) 871 53 13</w:t>
          </w:r>
        </w:p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sale@todo.ltd</w:t>
          </w:r>
        </w:p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www.todo.ltd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-957579</wp:posOffset>
          </wp:positionV>
          <wp:extent cx="774700" cy="807720"/>
          <wp:effectExtent b="0" l="0" r="0" t="0"/>
          <wp:wrapNone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4700" cy="8077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43f61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?><Relationships xmlns="http://schemas.openxmlformats.org/package/2006/relationships"><Relationship Id="rId11" Type="http://schemas.openxmlformats.org/officeDocument/2006/relationships/hyperlink" Target="http://www.todo.ltd" TargetMode="External"/><Relationship Id="rId10" Type="http://schemas.openxmlformats.org/officeDocument/2006/relationships/hyperlink" Target="mailto:sale@todo.ltd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image" Target="media/image7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1.pn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