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bCs w:val="1"/>
          <w:sz w:val="84"/>
          <w:szCs w:val="84"/>
        </w:rPr>
      </w:pPr>
      <w:r>
        <w:rPr>
          <w:rFonts w:ascii="Times New Roman" w:cs="Times New Roman" w:eastAsia="Times New Roman" w:hAnsi="Times New Roman"/>
          <w:b w:val="1"/>
          <w:bCs w:val="1"/>
          <w:sz w:val="68"/>
          <w:szCs w:val="68"/>
          <w:rtl w:val="0"/>
        </w:rPr>
        <w:t xml:space="preserve"> </w:t>
      </w:r>
      <w:r>
        <w:rPr>
          <w:rFonts w:ascii="Times New Roman" w:cs="Times New Roman" w:eastAsia="Times New Roman" w:hAnsi="Times New Roman"/>
          <w:b w:val="1"/>
          <w:bCs w:val="1"/>
          <w:sz w:val="68"/>
          <w:szCs w:val="6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rightMargin">
              <wp:posOffset>408305</wp:posOffset>
            </wp:positionH>
            <wp:positionV relativeFrom="page">
              <wp:posOffset>1124585</wp:posOffset>
            </wp:positionV>
            <wp:extent cx="774700" cy="80772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74700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b w:val="1"/>
          <w:bCs w:val="1"/>
          <w:sz w:val="68"/>
          <w:szCs w:val="68"/>
          <w:rtl w:val="0"/>
        </w:rPr>
        <w:t xml:space="preserve">ПЛАН ДИСКАВЕРІ (v1.1) </w:t>
      </w:r>
      <w:r>
        <w:rPr>
          <w:rFonts w:ascii="Times New Roman" w:cs="Times New Roman" w:eastAsia="Times New Roman" w:hAnsi="Times New Roman"/>
          <w:sz w:val="52"/>
          <w:szCs w:val="52"/>
          <w:rtl w:val="0"/>
        </w:rPr>
        <w:t>Впровадження Odoo 19 — SUPPLYCHAINS LIMITED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812"/>
        </w:tabs>
        <w:spacing w:after="0" w:line="240" w:lineRule="auto"/>
        <w:rPr/>
      </w:pPr>
      <w:r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left</wp:align>
            </wp:positionH>
            <wp:positionV relativeFrom="page">
              <wp:posOffset>2727960</wp:posOffset>
            </wp:positionV>
            <wp:extent cx="8841105" cy="5894070"/>
            <wp:effectExtent b="0" l="0" r="0" t="0"/>
            <wp:wrapNone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41105" cy="5894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812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page">
              <wp:posOffset>7386319</wp:posOffset>
            </wp:positionV>
            <wp:extent cx="3168650" cy="283210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283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812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bookmarkStart w:colFirst="0" w:colLast="0" w:name="_gjdgxs" w:id="0"/>
      <w:bookmarkEnd w:id="0"/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-2428239</wp:posOffset>
            </wp:positionH>
            <wp:positionV relativeFrom="paragraph">
              <wp:posOffset>260984</wp:posOffset>
            </wp:positionV>
            <wp:extent cx="5760720" cy="68961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Fonts w:ascii="Times New Roman" w:cs="Times New Roman" w:eastAsia="Times New Roman" w:hAnsi="Times New Roman"/>
          <w:color w:val="ffffff"/>
          <w:sz w:val="32"/>
          <w:szCs w:val="32"/>
          <w:rtl w:val="0"/>
        </w:rPr>
        <w:t xml:space="preserve">+38 (073) 871 53 13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hyperlink r:id="rId10">
        <w:r>
          <w:rPr>
            <w:rFonts w:ascii="Times New Roman" w:cs="Times New Roman" w:eastAsia="Times New Roman" w:hAnsi="Times New Roman"/>
            <w:color w:val="ffffff"/>
            <w:sz w:val="32"/>
            <w:szCs w:val="32"/>
            <w:rtl w:val="0"/>
          </w:rPr>
          <w:t xml:space="preserve">sale@todo.ltd</w:t>
        </w:r>
      </w:hyperlink>
      <w:r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hyperlink r:id="rId11">
        <w:r>
          <w:rPr>
            <w:rFonts w:ascii="Times New Roman" w:cs="Times New Roman" w:eastAsia="Times New Roman" w:hAnsi="Times New Roman"/>
            <w:color w:val="ffffff"/>
            <w:sz w:val="32"/>
            <w:szCs w:val="32"/>
            <w:u w:val="single"/>
            <w:rtl w:val="0"/>
          </w:rPr>
          <w:t xml:space="preserve">www.todo.ltd</w:t>
        </w:r>
      </w:hyperlink>
      <w:r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r>
        <w:rPr>
          <w:b w:val="1"/>
          <w:bCs w:val="1"/>
          <w:sz w:val="84"/>
          <w:szCs w:val="8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2308860</wp:posOffset>
            </wp:positionH>
            <wp:positionV relativeFrom="page">
              <wp:posOffset>8737600</wp:posOffset>
            </wp:positionV>
            <wp:extent cx="859790" cy="1390650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790" cy="1390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3497db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spacing w:line="31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8"/>
          <w:szCs w:val="28"/>
          <w:rtl w:val="0"/>
        </w:rPr>
        <w:t>SUPPLYCHAINS LIMITED</w:t>
      </w:r>
      <w:r>
        <w:rPr>
          <w:rtl w:val="0"/>
        </w:rPr>
      </w:r>
    </w:p>
    <w:p>
      <w:pPr>
        <w:spacing w:after="20"/>
        <w:rPr>
          <w:rFonts w:ascii="Times New Roman" w:cs="Times New Roman" w:eastAsia="Times New Roman" w:hAnsi="Times New Roman"/>
          <w:sz w:val="18"/>
          <w:szCs w:val="18"/>
        </w:rPr>
      </w:pPr>
      <w:r>
        <w:rPr>
          <w:rFonts w:ascii="Times New Roman" w:cs="Times New Roman" w:eastAsia="Times New Roman" w:hAnsi="Times New Roman"/>
          <w:color w:val="595959"/>
          <w:sz w:val="18"/>
          <w:szCs w:val="18"/>
          <w:rtl w:val="0"/>
        </w:rPr>
        <w:t>Дата: 9 червня 2026</w:t>
      </w:r>
    </w:p>
    <w:p>
      <w:pPr>
        <w:spacing w:after="20"/>
        <w:rPr>
          <w:rFonts w:ascii="Times New Roman" w:cs="Times New Roman" w:eastAsia="Times New Roman" w:hAnsi="Times New Roman"/>
          <w:sz w:val="18"/>
          <w:szCs w:val="18"/>
        </w:rPr>
      </w:pPr>
      <w:r>
        <w:rPr>
          <w:rFonts w:ascii="Times New Roman" w:cs="Times New Roman" w:eastAsia="Times New Roman" w:hAnsi="Times New Roman"/>
          <w:color w:val="595959"/>
          <w:sz w:val="18"/>
          <w:szCs w:val="18"/>
          <w:rtl w:val="0"/>
        </w:rPr>
        <w:t>Версія: 1.1</w:t>
      </w:r>
    </w:p>
    <w:p>
      <w:pPr>
        <w:spacing w:after="20"/>
        <w:rPr>
          <w:rFonts w:ascii="Times New Roman" w:cs="Times New Roman" w:eastAsia="Times New Roman" w:hAnsi="Times New Roman"/>
          <w:sz w:val="18"/>
          <w:szCs w:val="18"/>
        </w:rPr>
      </w:pPr>
      <w:r>
        <w:rPr>
          <w:rFonts w:ascii="Times New Roman" w:cs="Times New Roman" w:eastAsia="Times New Roman" w:hAnsi="Times New Roman"/>
          <w:color w:val="595959"/>
          <w:sz w:val="18"/>
          <w:szCs w:val="18"/>
          <w:rtl w:val="0"/>
        </w:rPr>
        <w:t>Складено на основі: аналіз Установчої Зустрічі (3 червня 2026), протокол_установча_2026-06-03, протокол_сесія-1_2026-06-09, журнал_дискавері (станом на 09.06.2026), план v1.0 (3 червня 2026)</w:t>
      </w:r>
    </w:p>
    <w:p>
      <w:pPr>
        <w:spacing w:after="20"/>
        <w:rPr>
          <w:rFonts w:ascii="Times New Roman" w:cs="Times New Roman" w:eastAsia="Times New Roman" w:hAnsi="Times New Roman"/>
          <w:sz w:val="18"/>
          <w:szCs w:val="18"/>
        </w:rPr>
      </w:pPr>
      <w:r>
        <w:rPr>
          <w:rFonts w:ascii="Times New Roman" w:cs="Times New Roman" w:eastAsia="Times New Roman" w:hAnsi="Times New Roman"/>
          <w:color w:val="595959"/>
          <w:sz w:val="18"/>
          <w:szCs w:val="18"/>
          <w:rtl w:val="0"/>
        </w:rPr>
        <w:t xml:space="preserve">&gt; 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18"/>
          <w:szCs w:val="18"/>
          <w:rtl w:val="0"/>
        </w:rPr>
        <w:t>Версія 1.1 — оновлено після Сесії 1 (09.06.2026).</w:t>
      </w:r>
      <w:r>
        <w:rPr>
          <w:rFonts w:ascii="Times New Roman" w:cs="Times New Roman" w:eastAsia="Times New Roman" w:hAnsi="Times New Roman"/>
          <w:color w:val="595959"/>
          <w:sz w:val="18"/>
          <w:szCs w:val="18"/>
          <w:rtl w:val="0"/>
        </w:rPr>
        <w:t xml:space="preserve"> Зміни проти v1.0 — у розділі «Що змінилось у версії 1.1» нижче. Стислий підсумок: структуру скорочено з 7 до 5 сесій (об’єднано тематично близькі), уточнено ризики (R-2 і R-1 знижено, додано R-6 landed cost), внесено нові виключення зі scope і нові вимоги з Сесії 1.</w:t>
      </w:r>
    </w:p>
    <w:p>
      <w:pPr>
        <w:keepNext w:val="1"/>
        <w:spacing w:before="200" w:after="8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6"/>
          <w:szCs w:val="26"/>
          <w:rtl w:val="0"/>
        </w:rPr>
        <w:t>🔑 Ключові параметри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Кількість сесій: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 (було 7). Проведено — 1; попереду — 4.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Орієнтовна тривалість: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~2.5–3.5 тижні сесій (2 сесії/тиждень) + 1–2 тижні на синтез і deliverables.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Головна невизначеність: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(1) осуществимість авто-рознесення витрат на собівартість товарної партії (landed cost) в Odoo 19; (2) облікова трактовка «агентської закупівлі» — виручка по повній угоді чи лише комісія (транзит коштів клієнта). *(Об’єм кастомних транспортних форм — раніше головна невизначеність — на С1 прояснено й знижено.)*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Критичне рішення до наступної сесії: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участь бухгалтера/аудитора клієнта на Сесії 2 (потрібен для облікової розвилки агентської закупівлі і плану рахунків Гонконгу).</w:t>
      </w:r>
    </w:p>
    <w:p>
      <w:pPr>
        <w:pBdr>
          <w:bottom w:val="single" w:sz="6" w:space="6" w:color="CCCCCC"/>
        </w:pBdr>
        <w:spacing w:before="80" w:after="80"/>
      </w:pPr>
    </w:p>
    <w:p>
      <w:pPr>
        <w:keepNext w:val="1"/>
        <w:spacing w:before="200" w:after="8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6"/>
          <w:szCs w:val="26"/>
          <w:rtl w:val="0"/>
        </w:rPr>
        <w:t>Що змінилось у версії 1.1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Структура 7 → 5 сесій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(номери стабільні — об’єднані сесії позначені, не перенумеровані):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Сесія 3 (бухоблік Гонконгу)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об’єднана з Сесією 2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→ спільна «облікова сесія» з бухгалтером (агентська закупівля + AP + план рахунків + банк/каса). Підстава: агентська трактовка напряму кормить план рахунків, обидві теми податково чутливі й потребують бухгалтера.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Сесія 6 (звітність + права)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об’єднана з Сесією 5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→ AR і прибутковість тісно пов’язані зі звітністю по маржі; модель прав тривіальна.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Сесія 7 (перехід) — лишається, але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коротка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: міграція лише залишків, інтеграції майже всі «ні», NFR скромні — переважно підтвердження.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Ризики: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R-1 (агентська закупівля): 🔴 → 🟡 — рамку отримано на С1; лишилась одна облікова розвилка (до бухгалтера).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R-2 (кастомні транспортні документи): 🟡 → 🟢 — на С1 прояснено: екранні інтерфейси, одна модель на AWB/коносамент/CMR, без друку; обсяг кастома менший.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R-5 (демо Odoo): прив’язано до Сесії 4, фокус — товарні партії + landed cost.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+ R-6 (новий)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🔴: авто-рознесення витрат постачальника на собівартість партії (landed cost) — головний кастом, осуществимість не підтверджена.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Нові виключення зі scope (підтверджено на С1, журнал X-14…X-18):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payroll у системі (ведеться в Excel), облік курсових різниць, друк документів/бланків, окремі коригувальні документи, автоматизація зміни маршруту/перевізника.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Нові вимоги з С1, розселені по сесіях: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товарна партія + landed cost → С4; довідник рахунків для оплати → С5; помісячний звіт по закритих відправках (вхід для розрахунку ЗП) → С5; обов’язкові поля картки контрагента → С2; банківсько-касовий контур (конвертація, перекази, каса, банк-комісії) → С2.</w:t>
      </w:r>
    </w:p>
    <w:p>
      <w:pPr>
        <w:pBdr>
          <w:bottom w:val="single" w:sz="6" w:space="6" w:color="CCCCCC"/>
        </w:pBdr>
        <w:spacing w:before="80" w:after="80"/>
      </w:pPr>
    </w:p>
    <w:p>
      <w:pPr>
        <w:keepNext w:val="1"/>
        <w:spacing w:before="200" w:after="8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6"/>
          <w:szCs w:val="26"/>
          <w:rtl w:val="0"/>
        </w:rPr>
        <w:t>Синтез: що знаємо</w:t>
      </w:r>
    </w:p>
    <w:p>
      <w:pPr>
        <w:keepNext w:val="1"/>
        <w:spacing w:before="140" w:after="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>Підтверджений scope (за результатами УЗ + Сесії 1)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Система — виключно облікова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(фінансовий + управлінський + бухгалтерський облік), не операційна ERP — підтверджено.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Кастомні форми транспортних документів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(авіанакладна, коносамент, CMR) —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екранні інтерфейси, що візуально повторюють отриманий електронний документ; без друку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. Три типи обліково ідентичні (одна модель, відмінність — нумерація/реквізити); податкові поля прибираються. *(Уточнено на С1 — обсяг кастома менший, ніж закладали.)*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Довідники UN Locations, авіакомпаній, перевізників — завантажити з 1С + оновити з безкоштовних офіційних UN-джерел; оновлюються рідко.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Облік логістичних послуг: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чернетка транспортного документа → позначення «відправлено» → вхідні рахунки субпідрядників → собівартість → вихідний рахунок клієнту (з котирування) → оплата клієнта → оплата агентам. Прибутковість по відправці (виручка − витрати).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Платежі: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документи надходжень/оплат — окремі; зв’язок «багато-до-багатьох» з відправками; прив’язка вхідних рахунків за номером транспортного документа; часткові/повні оплати.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Торгівля / товарні партії: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ExWorks купівля-продаж; примітивний box-moving; ФІФО, без партій/серійників.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Нова вимога — landed cost: рознесення витрат субпідрядників на собівартість партії, бажано авто з рахунку постачальника.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Інвойсинг і AR: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рахунок по відправці, стейтменти, аванси/відстрочки, перевиставлення наскрізних витрат із націнкою.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Бухоблік Гонконгу: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план рахунків Гонконгу, мультивалюта (база USD), консолідація для аудиторів. Діяльність проста (за словами власника).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Конвертація валют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окремий документ; курсові різниці не обліковуються.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Ролі: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менеджери з продажів бачать лише «сплачено/не сплачено»; можуть заводити контрагентів; правки рахунків — через бухгалтерію (ACL).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Користувачі: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максимум 6.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Обсяг: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50 відправок/місяць.</w:t>
      </w:r>
    </w:p>
    <w:p>
      <w:pPr>
        <w:keepNext w:val="1"/>
        <w:spacing w:before="140" w:after="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>Відкриті питання, що впливають на план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[КД] Облікова трактовка агентської закупівлі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(виручка vs транзит) — до бухгалтера на Сесії 2.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[КД] Перелік документів для Odoo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клієнт довантажує до Сесії 2 (структури документів і довідники на Google Drive).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[ВД] Осуществимість landed cost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Odoo 19 (авто-рознесення з рахунку постачальника) — перевірка BA/архітектором + демо до/на Сесії 4.</w:t>
      </w:r>
    </w:p>
    <w:p>
      <w:pPr>
        <w:keepNext w:val="1"/>
        <w:spacing w:before="140" w:after="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>Ризики, враховані в плані (актуалізовано v1.1)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🟡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R-1 «Агентська закупівля»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рамку отримано на С1 (комісія/націнка, товар напряму клієнту, дві можливі моделі). Лишилась облікова розвилка → винесено в облікову Сесію 2 з бухгалтером.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🟢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R-2 Кастомні транспортні документи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прояснено на С1 (екранні інтерфейси, одна модель, без друку). Специфікацію уточнюємо за наданими клієнтом зразками; залишковий ризик низький.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🟡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R-3 Бухоблік Гонконгу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тепер у Сесії 2; проста діяльність, але мультивалюта + трактовка агентської закупівлі потребують бухгалтера.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🟡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R-4 Бізнес у фазі розвороту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(логістика → торгівля) — не фіксувати scope як остаточний до Сесії 5 (AR/прибутковість).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🟢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R-5 Демо Odoo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кероване демо по товарних партіях/landed cost, орієнтовно на/перед Сесією 4.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🔴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R-6 Landed cost (новий)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авто-рознесення витрат на собівартість партії: головний кастом, осуществимість не підтверджена. Перевірити технічно (BA + архітектор) до проєктування С4; підстрахувати демонстрацією.</w:t>
      </w:r>
    </w:p>
    <w:p>
      <w:pPr>
        <w:pBdr>
          <w:bottom w:val="single" w:sz="6" w:space="6" w:color="CCCCCC"/>
        </w:pBdr>
        <w:spacing w:before="80" w:after="80"/>
      </w:pPr>
    </w:p>
    <w:p>
      <w:pPr>
        <w:keepNext w:val="1"/>
        <w:spacing w:before="200" w:after="8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6"/>
          <w:szCs w:val="26"/>
          <w:rtl w:val="0"/>
        </w:rPr>
        <w:t>Структура дискавері</w:t>
      </w:r>
    </w:p>
    <w:p>
      <w:pPr>
        <w:keepNext w:val="1"/>
        <w:spacing w:before="140" w:after="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>Блок A — Критичний (сесії 1–2)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Ядро, що блокує подальші рішення: обліковий процес логістики + транспортні документи (С1, проведено); облікова трактовка агентської закупівлі + AP + структура бухобліку Гонконгу + банк/каса (С2).</w:t>
      </w:r>
    </w:p>
    <w:p>
      <w:pPr>
        <w:keepNext w:val="1"/>
        <w:spacing w:before="140" w:after="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>Блок B — Основний (сесія 4)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Торгівля і товарний рух + товарні партії з landed cost (С4).</w:t>
      </w:r>
    </w:p>
    <w:p>
      <w:pPr>
        <w:keepNext w:val="1"/>
        <w:spacing w:before="140" w:after="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>Блок C — Уточнюючий (сесії 5, 7)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AR, прибутковість, управлінська звітність і права доступу (С5); перехід — міграція, межі інтеграцій, NFR, go-live, навчання (С7, коротка).</w:t>
      </w:r>
    </w:p>
    <w:p>
      <w:pPr>
        <w:spacing w:before="60" w:after="60"/>
        <w:ind w:left="360"/>
        <w:rPr>
          <w:rFonts w:ascii="Times New Roman" w:cs="Times New Roman" w:eastAsia="Times New Roman" w:hAnsi="Times New Roman"/>
          <w:sz w:val="21"/>
          <w:szCs w:val="21"/>
        </w:rPr>
      </w:pPr>
      <w:r>
        <w:rPr>
          <w:rFonts w:ascii="Times New Roman" w:cs="Times New Roman" w:eastAsia="Times New Roman" w:hAnsi="Times New Roman"/>
          <w:b w:val="1"/>
          <w:bCs w:val="1"/>
          <w:color w:val="595959"/>
          <w:sz w:val="21"/>
          <w:szCs w:val="21"/>
          <w:rtl w:val="0"/>
        </w:rPr>
        <w:t>Покриття 5 наскрізних ліній:</w:t>
      </w:r>
      <w:r>
        <w:rPr>
          <w:rFonts w:ascii="Times New Roman" w:cs="Times New Roman" w:eastAsia="Times New Roman" w:hAnsi="Times New Roman"/>
          <w:color w:val="595959"/>
          <w:sz w:val="21"/>
          <w:szCs w:val="21"/>
          <w:rtl w:val="0"/>
        </w:rPr>
        <w:t xml:space="preserve"> дані/міграція — Сесія 7; інтеграції — Сесія 7 (переважно «не застосовно», явно обмежено); ролі/права/безпека — Сесія 5 (раніше окрема С6, тепер у складі); NFR — Сесія 7 (обсяг ~50/міс уже отримано); навчання + go-live/cutover — Сесія 7.</w:t>
      </w:r>
    </w:p>
    <w:p>
      <w:pPr>
        <w:keepNext w:val="1"/>
        <w:spacing w:before="140" w:after="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>Учасники по сесіях</w:t>
      </w:r>
    </w:p>
    <w:tbl>
      <w:tblPr>
        <w:tblStyle w:val="Table1"/>
        <w:tblW w:w="9061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020"/>
        <w:gridCol w:w="3020"/>
        <w:gridCol w:w="3021"/>
      </w:tblGrid>
      <w:tr>
        <w:trPr>
          <w:tblHeader w:val="1"/>
        </w:trPr>
        <w:tc>
          <w:tcPr>
            <w:tcW w:w="3020" w:type="dxa"/>
            <w:shd w:fill="d9d9d9" w:val="clear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>Тема сесії</w:t>
            </w:r>
          </w:p>
        </w:tc>
        <w:tc>
          <w:tcPr>
            <w:tcW w:w="3020" w:type="dxa"/>
            <w:shd w:fill="d9d9d9" w:val="clear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>Обов’язкові учасники</w:t>
            </w:r>
          </w:p>
        </w:tc>
        <w:tc>
          <w:tcPr>
            <w:tcW w:w="3021" w:type="dxa"/>
            <w:shd w:fill="d9d9d9" w:val="clear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>Бажані учасники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Усі змістовні сесії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Станіслав Редька (власник, єдиний ОПР)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Юрій Львов (координація)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>Сесія 2 (облікова)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Станіслав Редька </w:t>
            </w:r>
            <w: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>+ бухгалтер/аудитор клієнта (обов’язково)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архітектор Odoo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Сесія 4 (торгівля)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Станіслав; особа зі складу/закупівель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архітектор Odoo (демо)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Сесія 5 (AR/звітність)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Станіслав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бухгалтер клієнта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Від ToDo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BA / керівник проекту (Тимур Ніжніковський)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Архітектор Odoo (С2, С4); PM (С7)</w:t>
            </w:r>
          </w:p>
        </w:tc>
      </w:tr>
    </w:tbl>
    <w:p>
      <w:pPr>
        <w:spacing w:after="40"/>
        <w:rPr>
          <w:rFonts w:ascii="Times New Roman" w:cs="Times New Roman" w:eastAsia="Times New Roman" w:hAnsi="Times New Roman"/>
          <w:sz w:val="12"/>
          <w:szCs w:val="12"/>
        </w:rPr>
      </w:pPr>
    </w:p>
    <w:p>
      <w:pPr>
        <w:pBdr>
          <w:bottom w:val="single" w:sz="6" w:space="6" w:color="CCCCCC"/>
        </w:pBdr>
        <w:spacing w:before="80" w:after="80"/>
      </w:pPr>
    </w:p>
    <w:p>
      <w:pPr>
        <w:keepNext w:val="1"/>
        <w:spacing w:before="200" w:after="8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6"/>
          <w:szCs w:val="26"/>
          <w:rtl w:val="0"/>
        </w:rPr>
        <w:t>Деталі сесій</w:t>
      </w:r>
    </w:p>
    <w:p>
      <w:pPr>
        <w:keepNext w:val="1"/>
        <w:spacing w:before="140" w:after="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>Сесія 1: Наскрізний обліковий процес логістики + транспортні документи — ✅ ПРОВЕДЕНА (09.06.2026)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Блок: A · Протокол: </w:t>
      </w: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>протокол_сесія-1_2026-06-09_SUPPLYCHAINS.md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Результат: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зафіксовано наскрізний обліковий шлях відправки (AS-IS); рішення по транспортних документах (екранні форми, без друку, одна модель на 3 типи); зв’язка відправка↔рахунки; визначення «закритої» відправки; складський облік ФІФО без партій. Рамково отримано модель агентської закупівлі. Виявлено нову вимогу — landed cost.</w:t>
      </w:r>
    </w:p>
    <w:p>
      <w:pPr>
        <w:pBdr>
          <w:bottom w:val="single" w:sz="6" w:space="6" w:color="CCCCCC"/>
        </w:pBdr>
        <w:spacing w:before="80" w:after="80"/>
      </w:pPr>
    </w:p>
    <w:p>
      <w:pPr>
        <w:keepNext w:val="1"/>
        <w:spacing w:before="140" w:after="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>Сесія 2: Облікова сесія — агентська закупівля + розрахунки з постачальниками (AP) + бухоблік Гонконгу + банк/каса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Блок: A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Тривалість: 2 год (об’єднана сесія — за переповнення банк/касу винести в хвіст С5)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Учасники від клієнта: Станіслав;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бухгалтер/аудитор — обов’язково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Ведучий від нас: BA (+ архітектор бажано)</w:t>
      </w:r>
    </w:p>
    <w:p>
      <w:pPr>
        <w:spacing w:before="60" w:after="60"/>
        <w:ind w:left="360"/>
        <w:rPr>
          <w:rFonts w:ascii="Times New Roman" w:cs="Times New Roman" w:eastAsia="Times New Roman" w:hAnsi="Times New Roman"/>
          <w:sz w:val="21"/>
          <w:szCs w:val="21"/>
        </w:rPr>
      </w:pPr>
      <w:r>
        <w:rPr>
          <w:rFonts w:ascii="Times New Roman" w:cs="Times New Roman" w:eastAsia="Times New Roman" w:hAnsi="Times New Roman"/>
          <w:color w:val="595959"/>
          <w:sz w:val="21"/>
          <w:szCs w:val="21"/>
          <w:rtl w:val="0"/>
        </w:rPr>
        <w:t>Об’єднує колишні Сесії 2 і 3. Агентська закупівля — НЕ повторна розвідка процесу (рамку отримано на С1), а одна облікова розвилка + уточнення, плюс структура бухобліку.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Ціль сесії: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Визначити облікову трактовку агентської закупівлі (виручка vs транзит) і структуру бухобліку (план рахунків Гонконгу, мультивалюта, контури); формалізувати AP і реєстр платежів; зафіксувати банківсько-касовий контур.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Питання для дослідження: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Облікова розвилка агентської закупівлі (до бухгалтера): виручка по повній угоді (купівля-продаж із націнкою) чи лише комісія як виручка, а кошти клієнта — транзит/обов’язок? Це визначає оборот, проводки і податок.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Хронологія платежів: клієнт завжди платить вперед, чи буває, що авансуєте фабрику зі своїх? Як обліковувати розрив у часі?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Конвертація: на якому моменті фіксуєте курс і чий курс (узгоджено з D-12 — окремий документ).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AP: як зіставляєте рядок вхідного рахунку з послугою у відправці; дублі/переплати; часткові оплати агентам; витрати, рахунок по яких ще не прийшов (accrued).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Перевиставлення наскрізних витрат із націнкою — облікова механіка (окремий рядок / у сумі).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План рахунків Гонконгу: готова структура? хто веде облік? розмежування контурів (фінансовий/управлінський/бухгалтерський)? мультивалюта (база USD)? формат і періодичність консолідації для аудиторів?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Банк/каса: конвертація валют, перекази між рахунками, зняття/внесення готівки, банк-комісії; довідник рахунків для оплати (банк, валюта); обов’язкові поля картки контрагента.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Очікуваний результат: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Облікова модель агентської закупівлі (підтверджена бухгалтером); вимоги до AP + реєстру платежів; рекомендація з Accounting (план рахунків, валюти, контури, межа «Odoo консолідує / аудитор звітує»).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Ризики сесії: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Податково/юридично чутлива зона — без бухгалтера частина перенесеться. Сесія об’ємна; якщо банк/каса не вміщується — винести у хвіст С5. Не фіксувати остаточну трактовку, якщо власник вагається — лишити варіанти до підтвердження.</w:t>
      </w:r>
    </w:p>
    <w:p>
      <w:pPr>
        <w:pBdr>
          <w:bottom w:val="single" w:sz="6" w:space="6" w:color="CCCCCC"/>
        </w:pBdr>
        <w:spacing w:before="80" w:after="80"/>
      </w:pPr>
    </w:p>
    <w:p>
      <w:pPr>
        <w:keepNext w:val="1"/>
        <w:spacing w:before="140" w:after="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>Сесія 3: Бухгалтерський облік (Гонконг) — ОБ’ЄДНАНА З СЕСІЄЮ 2 (v1.1)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План рахунків Гонконгу, мультивалюта, контури і консолідація розглядаються в межах облікової Сесії 2 (разом із бухгалтером). Окрема сесія недоцільна: за словами власника діяльність проста, а трактовка прив’язана до агентської закупівлі.</w:t>
      </w:r>
    </w:p>
    <w:p>
      <w:pPr>
        <w:pBdr>
          <w:bottom w:val="single" w:sz="6" w:space="6" w:color="CCCCCC"/>
        </w:pBdr>
        <w:spacing w:before="80" w:after="80"/>
      </w:pPr>
    </w:p>
    <w:p>
      <w:pPr>
        <w:keepNext w:val="1"/>
        <w:spacing w:before="140" w:after="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>Сесія 4: Торгівля і товарний рух + товарні партії (landed cost)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Блок: B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Тривалість: 1.5–2 год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Учасники від клієнта: Станіслав; особа, що працює зі складом/закупівлями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Ведучий від нас: BA + архітектор (демо)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Ціль сесії: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 до обліку товарних партій, закупівель і складського руху (примітивний box-moving) +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механіка рознесення витрат на собівартість партії (landed cost)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.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Питання для дослідження: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→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Landed cost (ключове):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має працювати рознесення витрат субпідрядників на собівартість партії (приклад «100 + доставка 5 = 105»); бажано авто з рахунку постачальника, у т.ч. коли витрати додаються поступово кількома рахунками.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Два сценарії: ExWorks купив/продав без фізичного руху і консолідаційний склад + box-moving — як обидва відображаються документами.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Повноцінні документи закупівлі: хто оформлює, які поля, як пов’язані з продажем.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Складський рух партій (об’єднання/розділення коробок) — як обліковувати (ФІФО, без серійників — D-9).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Як визначається собівартість товару в партії для торгової маржі.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Чи перетинається товарний рух з логістичними послугами в одному замовленні.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Очікуваний результат: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 до спрощених Purchase/Inventory; модель руху товарних партій;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підтверджена осуществимість landed cost (Q-13) + результат керованого демо Odoo (R-5)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.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Ризики сесії: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R-6 — landed cost може потребувати кастому; перевірити технічно ДО сесії, на демо показати наявний механізм. Не перевантажити складським функціоналом — клієнт прямо сказав «все дуже просто».</w:t>
      </w:r>
    </w:p>
    <w:p>
      <w:pPr>
        <w:pBdr>
          <w:bottom w:val="single" w:sz="6" w:space="6" w:color="CCCCCC"/>
        </w:pBdr>
        <w:spacing w:before="80" w:after="80"/>
      </w:pPr>
    </w:p>
    <w:p>
      <w:pPr>
        <w:keepNext w:val="1"/>
        <w:spacing w:before="140" w:after="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>Сесія 5: Розрахунки з клієнтами (AR), прибутковість + управлінська звітність і права доступу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Блок: B/C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Тривалість: 2 год (об’єднана сесія)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Учасники від клієнта: Станіслав; бажано бухгалтер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Ведучий від нас: BA + архітектор</w:t>
      </w:r>
    </w:p>
    <w:p>
      <w:pPr>
        <w:spacing w:before="60" w:after="60"/>
        <w:ind w:left="360"/>
        <w:rPr>
          <w:rFonts w:ascii="Times New Roman" w:cs="Times New Roman" w:eastAsia="Times New Roman" w:hAnsi="Times New Roman"/>
          <w:sz w:val="21"/>
          <w:szCs w:val="21"/>
        </w:rPr>
      </w:pPr>
      <w:r>
        <w:rPr>
          <w:rFonts w:ascii="Times New Roman" w:cs="Times New Roman" w:eastAsia="Times New Roman" w:hAnsi="Times New Roman"/>
          <w:color w:val="595959"/>
          <w:sz w:val="21"/>
          <w:szCs w:val="21"/>
          <w:rtl w:val="0"/>
        </w:rPr>
        <w:t>Об’єднує колишні Сесії 5 і 6. Звітність по маржі і права доступу — пряме продовження AR/прибутковості; модель прав тривіальна (менеджер бачить лише «сплачено/не сплачено»).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Ціль сесії: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Модель інвойсингу клієнтам, взаєморозрахунків і розрахунку прибутковості по відправці (головний business case); перелік звітів/дашбордів і матриця прав доступу.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Питання для дослідження: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Рахунки: по кожній відправці + об’єднання у стейтмент (тижневий/місячний) — як формується стейтмент.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Аванси і відстрочки: як обліковувати (штрафних санкцій немає — X-8).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Прибутковість = виручка − витрати; у який момент маржа стає «фактичною»; accrued-витрати (зв’язок із С2).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Перевиставлення наскрізних витрат із націнкою — підтвердити облікову механіку (узгодити з С2).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Довідник рахунків для оплати (банк, валюта) у вихідному рахунку — структура.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Помісячний звіт по закритих відправках (вхід для розрахунку ЗП — сам payroll поза системою, X-15): склад, формула.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Розрізи маржі (клієнти, менеджери, періоди; маршрути/перевізники — другий етап); фінансові звіти власнику.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Матриця прав: менеджери бачать лише «сплачено/не сплачено», без фінансових документів; хто редагує довідники; чи потрібен журнал аудиту змін.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Очікуваний результат: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Модель AR + розрахунку маржі по відправці; перелік аналітичних розрізів і звітів MVP; матриця ролей і прав. Після цієї сесії — фіксація меж MVP (Q-8).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Ризики сесії: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Вузький спред маржі — точність рознесення витрат критична (залежить від С2 і С4). Бажання «бачити все» по звітах — пріоритизувати під MVP.</w:t>
      </w:r>
    </w:p>
    <w:p>
      <w:pPr>
        <w:pBdr>
          <w:bottom w:val="single" w:sz="6" w:space="6" w:color="CCCCCC"/>
        </w:pBdr>
        <w:spacing w:before="80" w:after="80"/>
      </w:pPr>
    </w:p>
    <w:p>
      <w:pPr>
        <w:keepNext w:val="1"/>
        <w:spacing w:before="140" w:after="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>Сесія 6: Управлінська звітність, маржа і права доступу — ОБ’ЄДНАНА З СЕСІЄЮ 5 (v1.1)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Звітність, розрізи маржі і матриця прав доступу розглядаються в межах Сесії 5 разом з AR і прибутковістю.</w:t>
      </w:r>
    </w:p>
    <w:p>
      <w:pPr>
        <w:pBdr>
          <w:bottom w:val="single" w:sz="6" w:space="6" w:color="CCCCCC"/>
        </w:pBdr>
        <w:spacing w:before="80" w:after="80"/>
      </w:pPr>
    </w:p>
    <w:p>
      <w:pPr>
        <w:keepNext w:val="1"/>
        <w:spacing w:before="140" w:after="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>Сесія 7: Перехід і технічні питання (наскрізні лінії) — коротка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Блок: C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Тривалість: 1–1.5 год (переважно підтвердження)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Учасники від клієнта: Станіслав; бухгалтер (по залишках)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Ведучий від нас: BA + архітектор + PM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Ціль сесії: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Закрити наскрізні лінії: міграція, межі інтеграцій, NFR, go-live, навчання.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Питання для дослідження: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Міграція: переносимо тільки залишки (D-7), історію — ні. Які саме залишки (AR/AP, банк, склад) і на яку дату cutover (Q-9)?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Довідники (UN Locations, авіакомпанії, перевізники) — формат завантаження, обсяг (джерела підтверджені на С1).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Інтеграції — підтвердити межі: банки (ні, вручну — X-3), трекінг (ні — X-4), пошта/парсинг (ні — X-6), Bitrix (окремо — X-5). Чи є щось, що таки треба обмінювати?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NFR: 6 користувачів, мова інтерфейсу, обсяги (~50 відправок/міс — отримано), вимоги до доступності.</w:t>
      </w:r>
    </w:p>
    <w:p>
      <w:pPr>
        <w:spacing w:after="20"/>
        <w:ind w:left="20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→ Перехід: паралельна робота чи різкий cutover? Хто і коли навчається (6 користувачів)?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Очікуваний результат: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План міграції залишків + довідників; підтверджені межі інтеграцій; NFR; план go-live і навчання.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Ризики сесії: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Cutover фінансових залишків — вивірити дату і коректність вхідних залишків.</w:t>
      </w:r>
    </w:p>
    <w:p>
      <w:pPr>
        <w:pBdr>
          <w:bottom w:val="single" w:sz="6" w:space="6" w:color="CCCCCC"/>
        </w:pBdr>
        <w:spacing w:before="80" w:after="80"/>
      </w:pPr>
    </w:p>
    <w:p>
      <w:pPr>
        <w:keepNext w:val="1"/>
        <w:spacing w:before="200" w:after="8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6"/>
          <w:szCs w:val="26"/>
          <w:rtl w:val="0"/>
        </w:rPr>
        <w:t>Ключові рішення і залежності</w:t>
      </w:r>
    </w:p>
    <w:tbl>
      <w:tblPr>
        <w:tblStyle w:val="Table1"/>
        <w:tblW w:w="9061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265"/>
        <w:gridCol w:w="2265"/>
        <w:gridCol w:w="2265"/>
        <w:gridCol w:w="2266"/>
      </w:tblGrid>
      <w:tr>
        <w:trPr>
          <w:tblHeader w:val="1"/>
        </w:trPr>
        <w:tc>
          <w:tcPr>
            <w:tcW w:w="2265" w:type="dxa"/>
            <w:shd w:fill="d9d9d9" w:val="clear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>Рішення</w:t>
            </w:r>
          </w:p>
        </w:tc>
        <w:tc>
          <w:tcPr>
            <w:tcW w:w="2265" w:type="dxa"/>
            <w:shd w:fill="d9d9d9" w:val="clear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>Хто вирішує</w:t>
            </w:r>
          </w:p>
        </w:tc>
        <w:tc>
          <w:tcPr>
            <w:tcW w:w="2265" w:type="dxa"/>
            <w:shd w:fill="d9d9d9" w:val="clear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>Дедлайн</w:t>
            </w:r>
          </w:p>
        </w:tc>
        <w:tc>
          <w:tcPr>
            <w:tcW w:w="2266" w:type="dxa"/>
            <w:shd w:fill="d9d9d9" w:val="clear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>Від чого залежить</w:t>
            </w:r>
          </w:p>
        </w:tc>
      </w:tr>
      <w:tr>
        <w:tc>
          <w:tcPr>
            <w:tcW w:w="2265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Облікова трактовка агентської закупівлі (виручка vs транзит)</w:t>
            </w:r>
          </w:p>
        </w:tc>
        <w:tc>
          <w:tcPr>
            <w:tcW w:w="2265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Клієнт + бухгалтер</w:t>
            </w:r>
          </w:p>
        </w:tc>
        <w:tc>
          <w:tcPr>
            <w:tcW w:w="2265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Сесія 2</w:t>
            </w:r>
          </w:p>
        </w:tc>
        <w:tc>
          <w:tcPr>
            <w:tcW w:w="2266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облік AP, оборот, податок, план рахунків</w:t>
            </w:r>
          </w:p>
        </w:tc>
      </w:tr>
      <w:tr>
        <w:tc>
          <w:tcPr>
            <w:tcW w:w="2265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Перелік документів + довідники для Odoo (структури/скани)</w:t>
            </w:r>
          </w:p>
        </w:tc>
        <w:tc>
          <w:tcPr>
            <w:tcW w:w="2265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Клієнт</w:t>
            </w:r>
          </w:p>
        </w:tc>
        <w:tc>
          <w:tcPr>
            <w:tcW w:w="2265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до Сесії 2 (11.06)</w:t>
            </w:r>
          </w:p>
        </w:tc>
        <w:tc>
          <w:tcPr>
            <w:tcW w:w="2266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дизайн кастомних форм</w:t>
            </w:r>
          </w:p>
        </w:tc>
      </w:tr>
      <w:tr>
        <w:tc>
          <w:tcPr>
            <w:tcW w:w="2265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Участь бухгалтера/аудитора на Сесії 2</w:t>
            </w:r>
          </w:p>
        </w:tc>
        <w:tc>
          <w:tcPr>
            <w:tcW w:w="2265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Клієнт</w:t>
            </w:r>
          </w:p>
        </w:tc>
        <w:tc>
          <w:tcPr>
            <w:tcW w:w="2265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до Сесії 2</w:t>
            </w:r>
          </w:p>
        </w:tc>
        <w:tc>
          <w:tcPr>
            <w:tcW w:w="2266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трактовка агентської закупівлі + план рахунків</w:t>
            </w:r>
          </w:p>
        </w:tc>
      </w:tr>
      <w:tr>
        <w:tc>
          <w:tcPr>
            <w:tcW w:w="2265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Осуществимість landed cost в Odoo 19</w:t>
            </w:r>
          </w:p>
        </w:tc>
        <w:tc>
          <w:tcPr>
            <w:tcW w:w="2265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Ми (BA + архітектор)</w:t>
            </w:r>
          </w:p>
        </w:tc>
        <w:tc>
          <w:tcPr>
            <w:tcW w:w="2265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до Сесії 4</w:t>
            </w:r>
          </w:p>
        </w:tc>
        <w:tc>
          <w:tcPr>
            <w:tcW w:w="2266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модель товарних партій, обсяг кастома</w:t>
            </w:r>
          </w:p>
        </w:tc>
      </w:tr>
      <w:tr>
        <w:tc>
          <w:tcPr>
            <w:tcW w:w="2265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Межа MVP (що в першу чергу)</w:t>
            </w:r>
          </w:p>
        </w:tc>
        <w:tc>
          <w:tcPr>
            <w:tcW w:w="2265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Власник</w:t>
            </w:r>
          </w:p>
        </w:tc>
        <w:tc>
          <w:tcPr>
            <w:tcW w:w="2265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фіксація після Сесії 5</w:t>
            </w:r>
          </w:p>
        </w:tc>
        <w:tc>
          <w:tcPr>
            <w:tcW w:w="2266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scope і черговість впровадження</w:t>
            </w:r>
          </w:p>
        </w:tc>
      </w:tr>
      <w:tr>
        <w:tc>
          <w:tcPr>
            <w:tcW w:w="2265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Дата cutover фінансових залишків</w:t>
            </w:r>
          </w:p>
        </w:tc>
        <w:tc>
          <w:tcPr>
            <w:tcW w:w="2265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Разом</w:t>
            </w:r>
          </w:p>
        </w:tc>
        <w:tc>
          <w:tcPr>
            <w:tcW w:w="2265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Сесія 7</w:t>
            </w:r>
          </w:p>
        </w:tc>
        <w:tc>
          <w:tcPr>
            <w:tcW w:w="2266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план міграції та go-live</w:t>
            </w:r>
          </w:p>
        </w:tc>
      </w:tr>
      <w:tr>
        <w:tc>
          <w:tcPr>
            <w:tcW w:w="2265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Підтвердження 2-го платежу за дискавері *(внутрішнє)*</w:t>
            </w:r>
          </w:p>
        </w:tc>
        <w:tc>
          <w:tcPr>
            <w:tcW w:w="2265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МП (Юрій Лутай)</w:t>
            </w:r>
          </w:p>
        </w:tc>
        <w:tc>
          <w:tcPr>
            <w:tcW w:w="2265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до передачі фінального звіту</w:t>
            </w:r>
          </w:p>
        </w:tc>
        <w:tc>
          <w:tcPr>
            <w:tcW w:w="2266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передача deliverables клієнту</w:t>
            </w:r>
          </w:p>
        </w:tc>
      </w:tr>
    </w:tbl>
    <w:p>
      <w:pPr>
        <w:spacing w:after="40"/>
        <w:rPr>
          <w:rFonts w:ascii="Times New Roman" w:cs="Times New Roman" w:eastAsia="Times New Roman" w:hAnsi="Times New Roman"/>
          <w:sz w:val="12"/>
          <w:szCs w:val="12"/>
        </w:rPr>
      </w:pPr>
    </w:p>
    <w:p>
      <w:pPr>
        <w:pBdr>
          <w:bottom w:val="single" w:sz="6" w:space="6" w:color="CCCCCC"/>
        </w:pBdr>
        <w:spacing w:before="80" w:after="80"/>
      </w:pPr>
    </w:p>
    <w:p>
      <w:pPr>
        <w:keepNext w:val="1"/>
        <w:spacing w:before="200" w:after="8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6"/>
          <w:szCs w:val="26"/>
          <w:rtl w:val="0"/>
        </w:rPr>
        <w:t>Deliverables по завершенні дискавері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Стандартні: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Карта бізнес-процесів (AS-IS) — обліковий шлях відправки і товарного руху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Список вимог (FRD або аналог)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Рекомендована конфігурація Odoo (TO-BE)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Gaps і customization list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План міграції залишків, завантаження довідників, ролей/доступів (наскрізні лінії)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Statement of Work / план проєкту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Специфічні для цього клієнта: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Специфікація кастомних форм транспортних документів (екранні AWB/коносамент/CMR, одна модель) + структура довідників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Документована модель «агентської закупівлі» (грошові потоки, AP) —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фіналізується після підтвердження бухгалтером (С2)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Рекомендація з бухобліку Гонконгу (план рахунків, мультивалюта, контури, межа консолідації)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Механіка landed cost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(рознесення витрат на собівартість партії) — рішення «стандарт Odoo / кастом»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Модель розрахунку прибутковості по відправці (виручка − витрати, аналітичні розрізи)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Матриця ролей і прав доступу</w:t>
      </w:r>
    </w:p>
    <w:p>
      <w:pPr>
        <w:spacing w:before="60" w:after="60"/>
        <w:ind w:left="360"/>
        <w:rPr>
          <w:rFonts w:ascii="Times New Roman" w:cs="Times New Roman" w:eastAsia="Times New Roman" w:hAnsi="Times New Roman"/>
          <w:sz w:val="21"/>
          <w:szCs w:val="21"/>
        </w:rPr>
      </w:pPr>
      <w:r>
        <w:rPr>
          <w:rFonts w:ascii="Times New Roman" w:cs="Times New Roman" w:eastAsia="Times New Roman" w:hAnsi="Times New Roman"/>
          <w:color w:val="595959"/>
          <w:sz w:val="21"/>
          <w:szCs w:val="21"/>
          <w:rtl w:val="0"/>
        </w:rPr>
        <w:t>Оцінка трудомісткості впровадження і цифри SoW — результат дискавері; тверда цифра до узгодження фінального scope не дається.</w:t>
      </w:r>
    </w:p>
    <w:p>
      <w:pPr>
        <w:pBdr>
          <w:bottom w:val="single" w:sz="6" w:space="6" w:color="CCCCCC"/>
        </w:pBdr>
        <w:spacing w:before="80" w:after="80"/>
      </w:pPr>
    </w:p>
    <w:p>
      <w:pPr>
        <w:keepNext w:val="1"/>
        <w:spacing w:before="200" w:after="8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6"/>
          <w:szCs w:val="26"/>
          <w:rtl w:val="0"/>
        </w:rPr>
        <w:t>Чого НЕ чекати від цього плану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Це план-гіпотеза — він уточнюється після кожної сесії (наступна ревізія — після Сесії 2).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Оцінок трудомісткості впровадження тут немає — це результат дискавері.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Кількість сесій може ще змінитись: якщо landed cost (R-6) або трактовка агентської закупівлі виявляться складними — можлива додаткова сесія.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Де-скоуплені напрями (трекінг, портал, CRM-воронка в Odoo, керування ставками, compliance/dual-use, serial/IMEI, Shanghai, payroll, курсові різниці, друк, коригувальні документи, авто-зміна маршруту) у плані свідомо відсутні — якщо повертаються, план переглядається.</w:t>
      </w:r>
    </w:p>
    <w:sectPr>
      <w:headerReference r:id="rId15" w:type="default"/>
      <w:footerReference r:id="rId16" w:type="default"/>
      <w:pgSz w:h="16838" w:w="11906" w:orient="portrait"/>
      <w:pgMar w:bottom="850" w:top="850" w:left="1418" w:right="1416" w:header="283" w:footer="0" w:gut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592.0" w:type="dxa"/>
      <w:jc w:val="left"/>
      <w:tblInd w:w="-28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16"/>
      <w:gridCol w:w="7776"/>
      <w:tblGridChange w:id="0">
        <w:tblGrid>
          <w:gridCol w:w="2816"/>
          <w:gridCol w:w="7776"/>
        </w:tblGrid>
      </w:tblGridChange>
    </w:tblGrid>
    <w:tr>
      <w:trPr>
        <w:cantSplit w:val="0"/>
        <w:trHeight w:val="286" w:hRule="atLeast"/>
        <w:tblHeader w:val="0"/>
      </w:trPr>
      <w:tc>
        <w:tcPr/>
        <w:p w:rsidR="00000000" w:rsidDel="00000000" w:rsidP="00000000" w:rsidRDefault="00000000" w:rsidRPr="00000000" w14:paraId="0000009D">
          <w:pPr>
            <w:spacing w:line="276" w:lineRule="auto"/>
            <w:ind w:right="-113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color w:val="bfbfbf"/>
              <w:sz w:val="18"/>
              <w:szCs w:val="18"/>
              <w:rtl w:val="0"/>
            </w:rPr>
            <w:t xml:space="preserve">ToDo: </w:t>
          </w:r>
          <w:r w:rsidDel="00000000" w:rsidR="00000000" w:rsidRPr="00000000">
            <w:rPr>
              <w:rFonts w:ascii="Open Sans" w:cs="Open Sans" w:eastAsia="Open Sans" w:hAnsi="Open Sans"/>
              <w:color w:val="bfbfbf"/>
              <w:sz w:val="18"/>
              <w:szCs w:val="18"/>
              <w:rtl w:val="0"/>
            </w:rPr>
            <w:t xml:space="preserve">Too easy do simple</w:t>
          </w:r>
        </w:p>
      </w:tc>
      <w:tc>
        <w:tcPr/>
        <w:p w:rsidR="00000000" w:rsidDel="00000000" w:rsidP="00000000" w:rsidRDefault="00000000" w:rsidRPr="00000000" w14:paraId="0000009E">
          <w:pPr>
            <w:spacing w:line="276" w:lineRule="auto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3067200" y="3772800"/>
                              <a:ext cx="4557600" cy="14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image11.png"/>
                    <a:graphic>
                      <a:graphicData uri="http://schemas.openxmlformats.org/drawingml/2006/picture">
                        <pic:pic>
                          <pic:nvPicPr>
                            <pic:cNvPr id="0" name="image1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67125" cy="239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6160770</wp:posOffset>
          </wp:positionH>
          <wp:positionV relativeFrom="paragraph">
            <wp:posOffset>-1430019</wp:posOffset>
          </wp:positionV>
          <wp:extent cx="774700" cy="80772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63611" y="3533621"/>
                        <a:ext cx="7764779" cy="492759"/>
                      </a:xfrm>
                      <a:prstGeom prst="rect">
                        <a:avLst/>
                      </a:prstGeom>
                      <a:solidFill>
                        <a:srgbClr val="F7F6F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4304" cy="50228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1"/>
        <w:iCs w:val="1"/>
        <w:sz w:val="28"/>
        <w:szCs w:val="28"/>
        <w:highlight w:val="yellow"/>
      </w:rPr>
    </w:pPr>
    <w:r w:rsidDel="00000000" w:rsidR="00000000" w:rsidRPr="00000000">
      <w:rPr>
        <w:rtl w:val="0"/>
      </w:rPr>
    </w:r>
  </w:p>
  <w:tbl>
    <w:tblPr>
      <w:tblStyle w:val="Table5"/>
      <w:tblW w:w="9924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194"/>
      <w:gridCol w:w="4730"/>
      <w:tblGridChange w:id="0">
        <w:tblGrid>
          <w:gridCol w:w="5194"/>
          <w:gridCol w:w="4730"/>
        </w:tblGrid>
      </w:tblGridChange>
    </w:tblGrid>
    <w:tr>
      <w:trPr>
        <w:cantSplit w:val="0"/>
        <w:trHeight w:val="1087" w:hRule="atLeast"/>
        <w:tblHeader w:val="0"/>
      </w:trPr>
      <w:tc>
        <w:tcPr/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-251" w:right="0" w:firstLine="142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306705</wp:posOffset>
                </wp:positionH>
                <wp:positionV relativeFrom="paragraph">
                  <wp:posOffset>173355</wp:posOffset>
                </wp:positionV>
                <wp:extent cx="1871450" cy="732306"/>
                <wp:effectExtent b="0" l="0" r="0" t="0"/>
                <wp:wrapNone/>
                <wp:docPr id="1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1450" cy="7323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м. Київ, просп. Соборності 7А, оф. 105</w:t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+38 (073) 871 53 13</w:t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sale@todo.ltd</w:t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www.todo.ltd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-957579</wp:posOffset>
          </wp:positionV>
          <wp:extent cx="774700" cy="807720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hyperlink" Target="http://www.todo.ltd" TargetMode="External"/><Relationship Id="rId10" Type="http://schemas.openxmlformats.org/officeDocument/2006/relationships/hyperlink" Target="mailto:sale@todo.ltd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