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  <w:sz w:val="84"/>
          <w:szCs w:val="84"/>
        </w:rPr>
      </w:pPr>
      <w:r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1"/>
          <w:bCs w:val="1"/>
          <w:sz w:val="68"/>
          <w:szCs w:val="6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rightMargin">
              <wp:posOffset>408305</wp:posOffset>
            </wp:positionH>
            <wp:positionV relativeFrom="page">
              <wp:posOffset>1124585</wp:posOffset>
            </wp:positionV>
            <wp:extent cx="774700" cy="80772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4700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ПРОТОКОЛ ОБСТЕЖЕННЯ (ПРОВЕДЕННЯ ІНТЕРВ’Ю) </w:t>
      </w:r>
      <w:r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Сесія обстеження №1, SUPPLYCHAINS LIMITED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812"/>
        </w:tabs>
        <w:spacing w:after="0" w:line="240" w:lineRule="auto"/>
        <w:rPr/>
      </w:pPr>
      <w:r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left</wp:align>
            </wp:positionH>
            <wp:positionV relativeFrom="page">
              <wp:posOffset>2727960</wp:posOffset>
            </wp:positionV>
            <wp:extent cx="8841105" cy="5894070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1105" cy="5894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page">
              <wp:posOffset>7386319</wp:posOffset>
            </wp:positionV>
            <wp:extent cx="3168650" cy="283210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83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bookmarkStart w:colFirst="0" w:colLast="0" w:name="_gjdgxs" w:id="0"/>
      <w:bookmarkEnd w:id="0"/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-2428239</wp:posOffset>
            </wp:positionH>
            <wp:positionV relativeFrom="paragraph">
              <wp:posOffset>260984</wp:posOffset>
            </wp:positionV>
            <wp:extent cx="5760720" cy="68961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Fonts w:ascii="Times New Roman" w:cs="Times New Roman" w:eastAsia="Times New Roman" w:hAnsi="Times New Roman"/>
          <w:color w:val="ffffff"/>
          <w:sz w:val="32"/>
          <w:szCs w:val="32"/>
          <w:rtl w:val="0"/>
        </w:rPr>
        <w:t xml:space="preserve">+38 (073) 871 53 13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0">
        <w:r>
          <w:rPr>
            <w:rFonts w:ascii="Times New Roman" w:cs="Times New Roman" w:eastAsia="Times New Roman" w:hAnsi="Times New Roman"/>
            <w:color w:val="ffffff"/>
            <w:sz w:val="32"/>
            <w:szCs w:val="32"/>
            <w:rtl w:val="0"/>
          </w:rPr>
          <w:t xml:space="preserve">sale@todo.ltd</w:t>
        </w:r>
      </w:hyperlink>
      <w:r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1">
        <w:r>
          <w:rPr>
            <w:rFonts w:ascii="Times New Roman" w:cs="Times New Roman" w:eastAsia="Times New Roman" w:hAnsi="Times New Roman"/>
            <w:color w:val="ffffff"/>
            <w:sz w:val="32"/>
            <w:szCs w:val="32"/>
            <w:u w:val="single"/>
            <w:rtl w:val="0"/>
          </w:rPr>
          <w:t xml:space="preserve">www.todo.ltd</w:t>
        </w:r>
      </w:hyperlink>
      <w:r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r>
        <w:rPr>
          <w:b w:val="1"/>
          <w:bCs w:val="1"/>
          <w:sz w:val="84"/>
          <w:szCs w:val="8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2308860</wp:posOffset>
            </wp:positionH>
            <wp:positionV relativeFrom="page">
              <wp:posOffset>8737600</wp:posOffset>
            </wp:positionV>
            <wp:extent cx="859790" cy="139065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1390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3497db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spacing w:line="31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8"/>
          <w:szCs w:val="28"/>
          <w:rtl w:val="0"/>
        </w:rPr>
        <w:t xml:space="preserve">до Договору № ‹заповнити: № договору› від ‹заповнити: дату›</w:t>
      </w:r>
      <w:r>
        <w:rPr>
          <w:rtl w:val="0"/>
        </w:rPr>
      </w:r>
    </w:p>
    <w:tbl>
      <w:tblPr>
        <w:tblStyle w:val="Table1"/>
        <w:tblW w:w="9061.0" w:type="dxa"/>
        <w:jc w:val="left"/>
        <w:tblInd w:w="13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514"/>
        <w:tblGridChange w:id="0">
          <w:tblGrid>
            <w:gridCol w:w="2547"/>
            <w:gridCol w:w="651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70c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09.06.2026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30j0zll" w:id="1"/>
            <w:bookmarkEnd w:id="1"/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Місце проведення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70c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онлайн (відеозустріч із записом)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Тема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Обстеження (збір вимог)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Мета зустрічі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зафіксувати наскрізний обліковий шлях відправки (як він працює сьогодні) та вимоги до екранних форм транспортних документів, довідників і обліку оплат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Документ створив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Тимур Ніжніковський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Учасники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ПІБ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Організація/Підрозділ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Станіслав Редька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SUPPLYCHAINS LIMITED, власник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Тимур Ніжніковський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ToDo, керівник проєкту / бізнес-аналітик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Юрій Львов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ToDo, координація проєкту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ПОРЯДОК ДЕННИЙ:</w:t>
      </w:r>
    </w:p>
    <w:tbl>
      <w:tblPr>
        <w:tblStyle w:val="Table2"/>
        <w:tblW w:w="9540.0" w:type="dxa"/>
        <w:jc w:val="left"/>
        <w:tblInd w:w="13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600"/>
      </w:tblPr>
      <w:tblGrid>
        <w:gridCol w:w="825"/>
        <w:gridCol w:w="6720"/>
        <w:gridCol w:w="1995"/>
        <w:tblGridChange w:id="0">
          <w:tblGrid>
            <w:gridCol w:w="825"/>
            <w:gridCol w:w="6720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Питання для обговорення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Обговорювали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1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Перелік документів для системи та спосіб обміну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Транспортні документи: вимоги до екранних форм (авіанакладна, коносамент, CMR)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Наскрізний обліковий шлях відправки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Зв'язка «відправка ↔ рахунки» та облік надходжень і оплат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5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Товарний облік: партії та рознесення витрат на собівартість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6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Банківські та касові операції, конвертація валют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7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Закриття відправки в обліку та виправлення помилок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8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Довідники та довідник контрагентів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9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Вихідні форми документів і вибір рахунку для оплати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10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Агентська закупівля (рамково) та суміжні теми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11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Перелік файлів та документів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12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Відкриті питання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 xml:space="preserve">Так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РЕЗУЛЬТАТИ ІНТЕРВ’Ю: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1. Перелік документів для системи та спосіб обміну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Поточний стан (AS-IS): </w:t>
      </w:r>
      <w:r>
        <w:t xml:space="preserve">Замовник почав заповнювати перелік документів, потрібних у системі; перелік ще не вичерпний і доповнюватиметься. Документи Замовника ведуться в електронному вигляді, друкованих форм у роботі немає.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Домовленості (TO-BE): 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Замовник довантажує структури та зразки (скани) кожного документа з переліку до спільної папки «Шаблони документів замовника» на Google Drive із зазначенням назв полів.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Виконавець опрацьовує надані документи поза зустріччю, щоб не займати робочий час Замовника.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Для документів, які вже існують у наявній системі, Виконавець формує таблицю реквізитів (Excel), а Замовник позначає потрібні й непотрібні поля.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2. Транспортні документи: вимоги до екранних форм (авіанакладна, коносамент, CMR)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Поточний стан (AS-IS): </w:t>
      </w:r>
      <w:r>
        <w:t xml:space="preserve">авіаційні накладні, морські коносаменти та автотранспортні накладні (CMR) надходять Замовнику в електронному вигляді від авіаліній, судноплавних компаній або агентів. Менеджер переносить дані з отриманого документа в наявну систему. Друк цих документів не виконується.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Вимоги (TO-BE): 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Екранні форми авіанакладної, коносамента та CMR мають візуально повторювати отриманий документ, щоб менеджер переносив дані напряму, не шукаючи, куди вписати кожне значення. Це інтерфейс для заповнення й обліку, а не друкована форма.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З погляду обліку три документи ідентичні; відрізняються нумерацією та окремими реквізитами (наприклад, номер авіанакладної має стандартний формат і потребує перевірки; для коносамента жорсткого стандарту немає).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Ключові реквізити форми: відправник, отримувач, агент, перевізник, пункти відправлення і призначення, вага (метрична та об'ємна), кількість місць, вартість вантажу (для розрахунку страхування) та перелік послуг із вартістю.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Поля, пов'язані з податками, не використовуються і будуть прибрані; форму буде спрощено.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3. Наскрізний обліковий шлях відправки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Поточний стан (AS-IS), послідовність: 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1. Отримання документа від авіалінії або судноплавної компанії (коносамент / авіанакладна).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2. Внесення чернетки документа в систему (попередній, ще не проведений документ).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3. Після узгодження — позначення відправки як надісланої; очікування супровідних документів.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4. Надходження вхідних рахунків від агента та субпідрядників; формування собівартості відправки.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5. Формування вихідного рахунку клієнту згідно з наданим котируванням.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6. Оплата від клієнта; оплата агентам.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Особливості: 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Близько 90–95% розрахунків — безготівкові, через розрахунковий рахунок.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Вартості (фрахт, додаткові послуги) розраховуються поза системою — система веде лише облік і нічого не розраховує. Довідника ставок немає, кожна відправка має окреме котирування.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Кількість субпідрядних рахунків під одну накладну дорівнює кількості залучених субпідрядників; до кожного можна додати копії документів.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Орієнтовний обсяг — до 50 відправок на місяць.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4. Зв'язка «відправка ↔ рахунки» та облік надходжень і оплат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Поточний стан (AS-IS) і вимоги (TO-BE): 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Вихідний рахунок формується з транспортного документа. При створенні вхідного рахунку (закупівля послуг) реквізити підтягуються автоматично з документа продажу (номер накладної, строк і валюта оплати, перелік послуг). Дані копіюються, але не фіксуються — їх можна змінити (інший агент, інші послуги).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Прив'язка вхідного рахунку до відправки виконується за номером транспортного документа.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Документи надходження і оплати створюються переважно окремо: оплата найчастіше надходить за кілька відправок одночасно, і Замовник так само сплачує агентам за кілька відправок. Зв'язок «багато до багатьох»: одне надходження може стосуватися кількох відправок, і навпаки. Можливі часткові й повні оплати — їх потрібно відстежувати.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Таблиця розрахунків по замовленню (борг / оплачено / надійшло) заповнюється під час рознесення оплат.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5. Товарний облік: партії та рознесення витрат на собівартість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Поточний стан (AS-IS): </w:t>
      </w:r>
      <w:r>
        <w:t xml:space="preserve">окремого документа товарної партії в наявній системі немає. Рознести витрати на доставку на собівартість можна, але кожен рахунок доводиться рознести вручну.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Вимоги (TO-BE): 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Потрібна можливість додавати до собівартості товарної партії супутні витрати (наприклад, доставку до Гонконгу): товар, придбаний за 100 одиниць, із доставкою 5 одиниць має обліковуватися на складі за 105.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Бажано, щоб витрати субпідрядників рознесилися на партію безпосередньо з рахунку постачальника, зокрема коли витрати додаються поступово (кілька рахунків від різних виконавців у різний час).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Складський облік ведеться за методом ФІФО; окремі партії та серійні номери не відстежуються (близько 95% — облік партіями).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6. Банківські та касові операції, конвертація валют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Поточний стан (AS-IS) і вимоги (TO-BE): 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Прихід і розхід за розрахунковим рахунком ведуться згідно з рахунками; можливі надходження без прив'язки до рахунку (рахунок ще не створено). У приходах і розходах потрібно враховувати банківські витрати (комісії).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Конвертація валюти — окремий документ: списання коштів з одного рахунку за визначеним курсом і зарахування на інший власний рахунок.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Облік курсових різниць не ведеться; стандартний курс для документів не потрібен. Основна валюта обліку — долар США.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Переказ між власними рахунками, зняття та внесення готівки, виплата заробітної плати — документи списання або зарахування; можливі банківські комісії. Виплата заробітної плати обліковується як списання за статтею витрат, без деталізації за співробітниками.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7. Закриття відправки в обліку та виправлення помилок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Поточний стан (AS-IS) і вимоги (TO-BE): 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Відправка вважається закритою, коли документ повністю заповнено й отримано оплату від клієнта; стан розрахунків з агентами для закриття не обов'язковий (вони надходять пізніше). Закриття фіксує бухгалтерія. Закриті відправки використовуються для розрахунку заробітної плати.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Незавершені (непроведені) документи мають бути видимі в інтерфейсі.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Скасування трапляється рідко й лише на ранньому етапі (до передачі авіанакладної авіакомпанії); пізніше скасування не потрібне.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Зміна маршруту чи перевізника не автоматизується.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Помилки у вже виставлених рахунках виправляються через бухгалтерію, правкою наявного рахунку; окремі коригувальні документи не ведуться. Право на такі зміни обмежується правами доступу.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8. Довідники та довідник контрагентів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Поточний стан (AS-IS) і вимоги (TO-BE): 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Довідники локацій, авіакомпаній і перевізників є в наявній системі, але застарілі. Їх потрібно завантажити з наявної системи, а потім оновити з безкоштовних офіційних джерел (коди локацій). Перелік великих авіакомпаній і перевізників майже незмінний.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Агенти ведуться у спільному довіднику контрагентів (не окремо). Близько 95% контрагентів — юридичні особи. Один контрагент може бути одночасно покупцем і субпідрядником — окремих фіксованих ролей немає.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Менеджери з продажів можуть заводити нових контрагентів. Потрібен перелік обов'язкових полів картки контрагента.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9. Вихідні форми документів і вибір рахунку для оплати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Поточний стан (AS-IS) і вимоги (TO-BE): 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Друк документів не потрібен; для клієнтів достатньо експорту у PDF.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Форма вихідного рахунку — на основі стандартної, з можливим доопрацюванням.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• У рахунку потрібен вибір рахунку для зарахування оплати залежно від клієнта; для цього потрібен довідник рахунків (банк, валюта рахунку). Рахунок обирає бухгалтер.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10. Агентська закупівля (рамково) та суміжні теми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Агентська закупівля </w:t>
      </w:r>
      <w:r>
        <w:t xml:space="preserve">(детальний розбір — на наступній зустрічі): Замовник допомагає своєму клієнту оплатити постачальника (наприклад, фабрику, що приймає оплату лише в окремій валюті). Клієнт перераховує кошти, Замовник конвертує їх і сплачує постачальнику, додаючи узгоджену націнку — це дохід Замовника. З погляду обліку це рахунки: вхідний рахунок від постачальника перевиставляється клієнту. Товар на склад Замовника не оприбутковується — він прямує безпосередньо до клієнта. Розглядається також варіант комісійної моделі (клієнт надсилає кошти, Замовник утримує винагороду й оплачує рахунок постачальника).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Розрахунок заробітної плати: </w:t>
      </w:r>
      <w:r>
        <w:t xml:space="preserve">ведеться поза системою (в Excel); у системі не виконується. Для розрахунку потрібен помісячний звіт за закритими відправками.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План рахунків Гонконгу: </w:t>
      </w:r>
      <w:r>
        <w:t xml:space="preserve">Виконавець вивантажить наявний план рахунків і узгодить із бухгалтером Замовника, які рахунки використовуються та чи коректно ведеться облік. Діяльність проста (без дивідендів, депозитів тощо). Розгляд — на сесії з бухгалтерського обліку.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11. Перелік файлів та документів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Під час зустрічі Замовник почав завантажувати у спільну папку Google Drive структури та зразки документів (зокрема банківські й касові документи та зразок авіанакладної). Раніше Виконавець надав таблицю переліку документів із колонкою для позначення потрібної екранної форми. Решта структур документів і довідники — до завантаження Замовником (див. «Вирішили»).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12. Відкриті питання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1. Перелік обов'язкових полів картки контрагента — Відповідальний: Станіслав Редька — до наступної зустрічі.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2. Структура довідника рахунків для оплати (банк, валюта) — Відповідальний: Станіслав Редька — у межах обстеження.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3. План рахунків Гонконгу: склад використовуваних рахунків і коректність обліку — Відповідальний: Тимур Ніжніковський спільно з бухгалтером Замовника — у межах обстеження (сесія з бухгалтерського обліку).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4. Структура помісячного звіту за закритими відправками для розрахунку заробітної плати — Відповідальний: Станіслав Редька спільно з Виконавцем — у межах обстеження.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 xml:space="preserve">5. Деталі процесу «агентської закупівлі» — розглянемо на наступній зустрічі (11.06.2026).</w:t>
      </w:r>
    </w:p>
    <w:p w:rsidR="00000000" w:rsidDel="00000000" w:rsidP="00000000" w:rsidRDefault="00000000" w:rsidRPr="0000000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Наступна зустріч: четвер, 11.06.2026, 16:00 (за Києвом).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ВИРІШИЛИ:</w:t>
      </w:r>
      <w:r>
        <w:rPr>
          <w:rtl w:val="0"/>
        </w:rPr>
      </w:r>
    </w:p>
    <w:tbl>
      <w:tblPr>
        <w:tblStyle w:val="Table3"/>
        <w:tblW w:w="9526.0" w:type="dxa"/>
        <w:jc w:val="left"/>
        <w:tblInd w:w="13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600"/>
      </w:tblPr>
      <w:tblGrid>
        <w:gridCol w:w="709"/>
        <w:gridCol w:w="5245"/>
        <w:gridCol w:w="1275"/>
        <w:gridCol w:w="2297"/>
        <w:tblGridChange w:id="0">
          <w:tblGrid>
            <w:gridCol w:w="709"/>
            <w:gridCol w:w="5245"/>
            <w:gridCol w:w="1275"/>
            <w:gridCol w:w="229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Рішення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Термін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Відповідальний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40" w:lineRule="auto"/>
              <w:ind w:left="448" w:right="26" w:hanging="273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1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Замовник довантажує у спільну папку Google Drive структури та зразки (скани) документів із зазначенням полів, а також актуальні довідники (коди локацій, авіакомпанії, перевізники)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до 11.06.2026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Станіслав Редька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40" w:lineRule="auto"/>
              <w:ind w:left="448" w:right="26" w:hanging="273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Замовник позначає в наданій таблиці документи, для яких потрібна екранна форма за зразком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до 11.06.2026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Станіслав Редька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40" w:lineRule="auto"/>
              <w:ind w:left="448" w:right="26" w:hanging="273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Виконавець формує в Excel перелік реквізитів наявних документів для звірки потрібних і непотрібних полів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до 11.06.2026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Тимур Ніжніковський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40" w:lineRule="auto"/>
              <w:ind w:left="448" w:right="26" w:hanging="273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Транспортні документи (авіанакладна, коносамент, CMR) реалізуються як екранні форми обліку без друкованих бланків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узгоджено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Замовник + Виконавець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40" w:lineRule="auto"/>
              <w:ind w:left="448" w:right="26" w:hanging="273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5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Складський облік ведеться за методом ФІФО, без обліку окремих партій і серійних номерів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узгоджено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Замовник + Виконавець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40" w:lineRule="auto"/>
              <w:ind w:left="448" w:right="26" w:hanging="273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6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Виконавець опрацьовує механізм рознесення витрат постачальників на собівартість товарної партії (landed cost)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до 11.06.2026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Тимур Ніжніковський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spacing w:after="0" w:line="240" w:lineRule="auto"/>
              <w:ind w:left="448" w:right="26" w:hanging="273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7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Виконавець готує перелік питань і документів до наступної зустрічі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11.06.2026 (перша половина дня)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 xml:space="preserve">Тимур Ніжніковський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ПОГОДЖЕННЯ</w:t>
      </w:r>
      <w:r>
        <w:rPr>
          <w:rtl w:val="0"/>
        </w:rPr>
      </w:r>
    </w:p>
    <w:tbl>
      <w:tblPr>
        <w:tblStyle w:val="Table4"/>
        <w:tblW w:w="9061.0" w:type="dxa"/>
        <w:jc w:val="left"/>
        <w:tblInd w:w="13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514"/>
        <w:tblGridChange w:id="0">
          <w:tblGrid>
            <w:gridCol w:w="2547"/>
            <w:gridCol w:w="651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Відповідальний</w:t>
            </w:r>
            <w:r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Погоджено/Зауваження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Станіслав Редька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2"/>
          <w:szCs w:val="32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pageBreakBefore w:val="1"/>
        <w:widowControl w:val="0"/>
        <w:pBdr>
          <w:bottom w:color="595959" w:space="1" w:sz="4" w:val="single"/>
        </w:pBdr>
        <w:spacing w:after="60" w:line="276" w:lineRule="auto"/>
        <w:ind w:left="4536" w:firstLine="0"/>
        <w:jc w:val="right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  <w:rtl w:val="0"/>
        </w:rPr>
        <w:t xml:space="preserve">ДОДАТОК 1 «Опис бізнес-процесу, процесу, підпроцесу, функції, які підлягають автоматизації»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color w:val="0070c0"/>
          <w:sz w:val="28"/>
          <w:szCs w:val="28"/>
        </w:rPr>
        <w:drawing>
          <wp:inline distB="0" distT="0" distL="0" distR="0">
            <wp:extent cx="320040" cy="320040"/>
            <wp:effectExtent b="0" l="0" r="0" t="0"/>
            <wp:docPr descr="Документ" id="7" name="image7.png"/>
            <a:graphic>
              <a:graphicData uri="http://schemas.openxmlformats.org/drawingml/2006/picture">
                <pic:pic>
                  <pic:nvPicPr>
                    <pic:cNvPr descr="Документ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Опис може бути представлено: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форматі текстового опису;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табличному форматі;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формі схеми, з обов'язковими текстовими уточненнями по порядку, умов і особливостей виконання кожного кроку бізнес-процесу, процесу, підпроцесу, функції.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Формат опису повинен бути узгоджений з Замовником з метою спрощення процедури узгодження документа.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Наприклад: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line="276" w:lineRule="auto"/>
        <w:ind w:left="644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Вільний текстовий /таблиця/схематичний</w:t>
      </w: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опис</w:t>
      </w: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послідовності кроків у процесі</w:t>
      </w: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ведення бізнесу, процесі, субпроцесі, функції.</w:t>
      </w: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Кроки;  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Відповідальні;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Порядок, умови та особливості кожного кроку автоматизованого бізнес-процесу;  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Друковані та звітні форми, сформовані та/або застосовані під час виконання бізнес-процесу;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Використання існуючих IС;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Плани, думки, очікування щодо використання ПЗ;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Інша уточнююче інформація, отримана від Замовника.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highlight w:val="yellow"/>
        </w:rPr>
      </w:pPr>
      <w:r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line="276" w:lineRule="auto"/>
        <w:ind w:left="644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Текстовий опис бізнес-процесу, процесу, субпроцесу, функції в контексті вимог, закріплених у Технічному завданні, додатку</w:t>
      </w: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до Договору.</w:t>
      </w: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</w:t>
      </w:r>
      <w:r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Зафіксуйте: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Вимоги;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Опис бізнес-процесу, процесу, функції із зазначенням кроків, відповідальних за виконання кроків, порядку, умов і особливостей виконання кожного кроку, друкованих та звітних форм, використання існуючих і створюваних ІС і пр..  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  <w:highlight w:val="yellow"/>
        </w:rPr>
      </w:pPr>
      <w:r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line="276" w:lineRule="auto"/>
        <w:ind w:left="644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Питання-відповідь по бізнес-процесам, які підлягають автоматизації.</w:t>
      </w: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</w:t>
      </w:r>
      <w:r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Зафіксуйте: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Питання, що задаються Виконавцем Замовнику;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Відповіді Замовника.</w:t>
      </w:r>
      <w:r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Окремо рекомендується фіксувати: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• Вимоги щодо інтеграції створюваної ІС з існуючими ІС замовника, механізмах інтеграції, обсягах даних до обміну і власників даних;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• Вимоги щодо міграції даних, механізми міграції, джерелах і власників даних до міграції;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• Вимоги до розмежування доступу до об'єктів і даними ІС;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  <w:highlight w:val="yellow"/>
        </w:rPr>
      </w:pP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• Інше.</w:t>
      </w:r>
      <w:r>
        <w:rPr>
          <w:rtl w:val="0"/>
        </w:rPr>
      </w:r>
    </w:p>
    <w:sectPr>
      <w:headerReference r:id="rId15" w:type="default"/>
      <w:footerReference r:id="rId16" w:type="default"/>
      <w:pgSz w:h="16838" w:w="11906" w:orient="portrait"/>
      <w:pgMar w:bottom="850" w:top="850" w:left="1418" w:right="1416" w:header="283" w:footer="0" w:gut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592.0" w:type="dxa"/>
      <w:jc w:val="left"/>
      <w:tblInd w:w="-28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16"/>
      <w:gridCol w:w="7776"/>
      <w:tblGridChange w:id="0">
        <w:tblGrid>
          <w:gridCol w:w="2816"/>
          <w:gridCol w:w="7776"/>
        </w:tblGrid>
      </w:tblGridChange>
    </w:tblGrid>
    <w:tr>
      <w:trPr>
        <w:cantSplit w:val="0"/>
        <w:trHeight w:val="286" w:hRule="atLeast"/>
        <w:tblHeader w:val="0"/>
      </w:trPr>
      <w:tc>
        <w:tcPr/>
        <w:p w:rsidR="00000000" w:rsidDel="00000000" w:rsidP="00000000" w:rsidRDefault="00000000" w:rsidRPr="00000000" w14:paraId="0000009D">
          <w:pPr>
            <w:spacing w:line="276" w:lineRule="auto"/>
            <w:ind w:right="-113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bfbfbf"/>
              <w:sz w:val="18"/>
              <w:szCs w:val="18"/>
              <w:rtl w:val="0"/>
            </w:rPr>
            <w:t xml:space="preserve">ToDo: </w:t>
          </w:r>
          <w:r w:rsidDel="00000000" w:rsidR="00000000" w:rsidRPr="00000000">
            <w:rPr>
              <w:rFonts w:ascii="Open Sans" w:cs="Open Sans" w:eastAsia="Open Sans" w:hAnsi="Open Sans"/>
              <w:color w:val="bfbfbf"/>
              <w:sz w:val="18"/>
              <w:szCs w:val="18"/>
              <w:rtl w:val="0"/>
            </w:rPr>
            <w:t xml:space="preserve">Too easy do simple</w:t>
          </w:r>
        </w:p>
      </w:tc>
      <w:tc>
        <w:tcPr/>
        <w:p w:rsidR="00000000" w:rsidDel="00000000" w:rsidP="00000000" w:rsidRDefault="00000000" w:rsidRPr="00000000" w14:paraId="0000009E">
          <w:pPr>
            <w:spacing w:line="276" w:lineRule="auto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3067200" y="3772800"/>
                              <a:ext cx="4557600" cy="14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67125" cy="239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6160770</wp:posOffset>
          </wp:positionH>
          <wp:positionV relativeFrom="paragraph">
            <wp:posOffset>-1430019</wp:posOffset>
          </wp:positionV>
          <wp:extent cx="774700" cy="80772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63611" y="3533621"/>
                        <a:ext cx="7764779" cy="492759"/>
                      </a:xfrm>
                      <a:prstGeom prst="rect">
                        <a:avLst/>
                      </a:prstGeom>
                      <a:solidFill>
                        <a:srgbClr val="F7F6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4304" cy="50228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  <w:sz w:val="28"/>
        <w:szCs w:val="28"/>
        <w:highlight w:val="yellow"/>
      </w:rPr>
    </w:pPr>
    <w:r w:rsidDel="00000000" w:rsidR="00000000" w:rsidRPr="00000000">
      <w:rPr>
        <w:rtl w:val="0"/>
      </w:rPr>
    </w:r>
  </w:p>
  <w:tbl>
    <w:tblPr>
      <w:tblStyle w:val="Table5"/>
      <w:tblW w:w="9924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194"/>
      <w:gridCol w:w="4730"/>
      <w:tblGridChange w:id="0">
        <w:tblGrid>
          <w:gridCol w:w="5194"/>
          <w:gridCol w:w="4730"/>
        </w:tblGrid>
      </w:tblGridChange>
    </w:tblGrid>
    <w:tr>
      <w:trPr>
        <w:cantSplit w:val="0"/>
        <w:trHeight w:val="1087" w:hRule="atLeast"/>
        <w:tblHeader w:val="0"/>
      </w:trPr>
      <w:tc>
        <w:tcPr/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-251" w:right="0" w:firstLine="142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306705</wp:posOffset>
                </wp:positionH>
                <wp:positionV relativeFrom="paragraph">
                  <wp:posOffset>173355</wp:posOffset>
                </wp:positionV>
                <wp:extent cx="1871450" cy="732306"/>
                <wp:effectExtent b="0" l="0" r="0" t="0"/>
                <wp:wrapNone/>
                <wp:docPr id="1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450" cy="7323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м. Київ, просп. Соборності 7А, оф. 105</w:t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+38 (073) 871 53 13</w:t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sale@todo.ltd</w:t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www.todo.ltd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-957579</wp:posOffset>
          </wp:positionV>
          <wp:extent cx="774700" cy="807720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hyperlink" Target="http://www.todo.ltd" TargetMode="External"/><Relationship Id="rId10" Type="http://schemas.openxmlformats.org/officeDocument/2006/relationships/hyperlink" Target="mailto:sale@todo.ltd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