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b w:val="1"/>
          <w:bCs w:val="1"/>
          <w:sz w:val="84"/>
          <w:szCs w:val="84"/>
        </w:rPr>
      </w:pPr>
      <w:r>
        <w:rPr>
          <w:rFonts w:ascii="Times New Roman" w:cs="Times New Roman" w:eastAsia="Times New Roman" w:hAnsi="Times New Roman"/>
          <w:b w:val="1"/>
          <w:bCs w:val="1"/>
          <w:sz w:val="68"/>
          <w:szCs w:val="68"/>
          <w:rtl w:val="0"/>
        </w:rPr>
        <w:t xml:space="preserve"> </w:t>
      </w:r>
      <w:r>
        <w:rPr>
          <w:rFonts w:ascii="Times New Roman" w:cs="Times New Roman" w:eastAsia="Times New Roman" w:hAnsi="Times New Roman"/>
          <w:b w:val="1"/>
          <w:bCs w:val="1"/>
          <w:sz w:val="68"/>
          <w:szCs w:val="6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rightMargin">
              <wp:posOffset>408305</wp:posOffset>
            </wp:positionH>
            <wp:positionV relativeFrom="page">
              <wp:posOffset>1124585</wp:posOffset>
            </wp:positionV>
            <wp:extent cx="774700" cy="80772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74700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b w:val="1"/>
          <w:bCs w:val="1"/>
          <w:sz w:val="68"/>
          <w:szCs w:val="68"/>
          <w:rtl w:val="0"/>
        </w:rPr>
        <w:t xml:space="preserve">ПРОТОКОЛ ОБСТЕЖЕННЯ (ПРОВЕДЕННЯ ІНТЕРВ’Ю) </w:t>
      </w:r>
      <w:r>
        <w:rPr>
          <w:rFonts w:ascii="Times New Roman" w:cs="Times New Roman" w:eastAsia="Times New Roman" w:hAnsi="Times New Roman"/>
          <w:sz w:val="52"/>
          <w:szCs w:val="52"/>
          <w:rtl w:val="0"/>
        </w:rPr>
        <w:t>Впровадження системи обліку (Odoo) — SUPPLYCHAINS LIMITED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812"/>
        </w:tabs>
        <w:spacing w:after="0" w:line="240" w:lineRule="auto"/>
        <w:rPr/>
      </w:pPr>
      <w:r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left</wp:align>
            </wp:positionH>
            <wp:positionV relativeFrom="page">
              <wp:posOffset>2727960</wp:posOffset>
            </wp:positionV>
            <wp:extent cx="8841105" cy="5894070"/>
            <wp:effectExtent b="0" l="0" r="0" t="0"/>
            <wp:wrapNone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41105" cy="58940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5812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page">
              <wp:posOffset>7386319</wp:posOffset>
            </wp:positionV>
            <wp:extent cx="3168650" cy="283210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283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812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bookmarkStart w:colFirst="0" w:colLast="0" w:name="_gjdgxs" w:id="0"/>
      <w:bookmarkEnd w:id="0"/>
      <w:r>
        <w:rPr>
          <w:rtl w:val="0"/>
        </w:rPr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-2428239</wp:posOffset>
            </wp:positionH>
            <wp:positionV relativeFrom="paragraph">
              <wp:posOffset>260984</wp:posOffset>
            </wp:positionV>
            <wp:extent cx="5760720" cy="68961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Fonts w:ascii="Times New Roman" w:cs="Times New Roman" w:eastAsia="Times New Roman" w:hAnsi="Times New Roman"/>
          <w:color w:val="ffffff"/>
          <w:sz w:val="32"/>
          <w:szCs w:val="32"/>
          <w:rtl w:val="0"/>
        </w:rPr>
        <w:t xml:space="preserve">+38 (073) 871 53 13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hyperlink r:id="rId10">
        <w:r>
          <w:rPr>
            <w:rFonts w:ascii="Times New Roman" w:cs="Times New Roman" w:eastAsia="Times New Roman" w:hAnsi="Times New Roman"/>
            <w:color w:val="ffffff"/>
            <w:sz w:val="32"/>
            <w:szCs w:val="32"/>
            <w:rtl w:val="0"/>
          </w:rPr>
          <w:t xml:space="preserve">sale@todo.ltd</w:t>
        </w:r>
      </w:hyperlink>
      <w:r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hyperlink r:id="rId11">
        <w:r>
          <w:rPr>
            <w:rFonts w:ascii="Times New Roman" w:cs="Times New Roman" w:eastAsia="Times New Roman" w:hAnsi="Times New Roman"/>
            <w:color w:val="ffffff"/>
            <w:sz w:val="32"/>
            <w:szCs w:val="32"/>
            <w:u w:val="single"/>
            <w:rtl w:val="0"/>
          </w:rPr>
          <w:t xml:space="preserve">www.todo.ltd</w:t>
        </w:r>
      </w:hyperlink>
      <w:r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r>
        <w:rPr>
          <w:b w:val="1"/>
          <w:bCs w:val="1"/>
          <w:sz w:val="84"/>
          <w:szCs w:val="8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2308860</wp:posOffset>
            </wp:positionH>
            <wp:positionV relativeFrom="page">
              <wp:posOffset>8737600</wp:posOffset>
            </wp:positionV>
            <wp:extent cx="859790" cy="1390650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9790" cy="1390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3497db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spacing w:line="31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t>до Договору № ‹заповнити: № договору› від ‹заповнити: дату›</w:t>
      </w:r>
    </w:p>
    <w:tbl>
      <w:tblPr>
        <w:tblStyle w:val="Table1"/>
        <w:tblW w:w="9061.0" w:type="dxa"/>
        <w:jc w:val="left"/>
        <w:tblInd w:w="137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514"/>
        <w:tblGridChange w:id="0">
          <w:tblGrid>
            <w:gridCol w:w="2547"/>
            <w:gridCol w:w="651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70c0"/>
                <w:sz w:val="28"/>
                <w:szCs w:val="28"/>
              </w:rPr>
            </w:pPr>
            <w:r>
              <w:t>03.06.2026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30j0zll" w:id="1"/>
            <w:bookmarkEnd w:id="1"/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Місце проведення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70c0"/>
                <w:sz w:val="28"/>
                <w:szCs w:val="28"/>
              </w:rPr>
            </w:pPr>
            <w:r>
              <w:t>онлайн (відеозустріч із записом)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Тема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>
              <w:t>Установча зустріч (старт проєкту)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Мета зустрічі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8"/>
                <w:szCs w:val="28"/>
              </w:rPr>
            </w:pPr>
            <w:r>
              <w:t>Узгодження умов співпраці, знайомство з бізнесом замовника та фіксація завдань майбутньої системи обліку на базі Odoo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Документ створив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t>Тимур Ніжніковський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>
              <w:rPr>
                <w:b/>
              </w:rPr>
              <w:t>Учасники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ПІБ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Організація/Підрозділ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>
              <w:t>Станіслав Редька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t>SUPPLYCHAINS LIMITED, власник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t>Тимур Ніжніковський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t>ToDo, керівник проєкту / бізнес-аналітик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t>Олександр-Джеміль Джошкун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t>ToDo, керівник відділу управління проєктами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t>Юрій Лутай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t>ToDo, менеджер проєкту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t>Юрій Львов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t>ToDo, координація проєкту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ПОРЯДОК ДЕННИЙ:</w:t>
      </w:r>
    </w:p>
    <w:tbl>
      <w:tblPr>
        <w:tblStyle w:val="Table2"/>
        <w:tblW w:w="9540.0" w:type="dxa"/>
        <w:jc w:val="left"/>
        <w:tblInd w:w="137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600"/>
      </w:tblPr>
      <w:tblGrid>
        <w:gridCol w:w="825"/>
        <w:gridCol w:w="6720"/>
        <w:gridCol w:w="1995"/>
        <w:tblGridChange w:id="0">
          <w:tblGrid>
            <w:gridCol w:w="825"/>
            <w:gridCol w:w="6720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Питання для обговорення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Обговорювали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1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>
              <w:t>Команда проєкту та ролі учасників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2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Інструменти співпраці, комунікація та графік роботи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3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Фінансові умови та порядок розрахунків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4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Роль замовника, зупинка проєкту та гарантійні зобов'язання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5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Документи за результатами передпроєктного обстеження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6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Знайомство з бізнесом і завдання майбутньої системи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7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Перелік файлів та документів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Так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76" w:lineRule="auto"/>
              <w:ind w:left="448" w:right="26" w:hanging="27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8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Відкриті питання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t>Так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РЕЗУЛЬТАТИ ІНТЕРВ’Ю:</w:t>
      </w:r>
    </w:p>
    <w:p w:rsidR="00000000" w:rsidDel="00000000" w:rsidP="00000000" w:rsidRDefault="00000000" w:rsidRPr="00000000" w14:paraId="0000004D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>1. Команда проєкту та ролі учасників</w:t>
      </w:r>
    </w:p>
    <w:p w:rsidR="00000000" w:rsidDel="00000000" w:rsidP="00000000" w:rsidRDefault="00000000" w:rsidRPr="00000000" w14:paraId="0000004E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>З боку ToDo проєкт ведуть: Тимур Ніжніковський — керівник проєкту і провідний аналітик, який проводитиме обстеження; Олександр-Джеміль Джошкун — керівник відділу управління проєктами, наглядова роль (періодично перевірятиме, що співпраця йде коректно); Юрій Лутай — менеджер проєкту з комерційних питань; Юрій Львов — координація зустрічей і комунікації. З боку замовника проєкт особисто супроводжує власник — Станіслав Редька: він ухвалює рішення і погоджує подальші кроки протягом усього проєкту. Окремо зазначено практику ToDo: час від часу топ-менеджмент компанії особисто веде проєкти, щоб перевіряти якість процесів зсередини, — на перебіг проєкту це не впливає, команда працює за стандартною методологією.</w:t>
      </w:r>
    </w:p>
    <w:p w:rsidR="00000000" w:rsidDel="00000000" w:rsidP="00000000" w:rsidRDefault="00000000" w:rsidRPr="00000000" w14:paraId="0000004F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>2. Інструменти співпраці, комунікація та графік роботи</w:t>
      </w:r>
    </w:p>
    <w:p w:rsidR="00000000" w:rsidDel="00000000" w:rsidP="00000000" w:rsidRDefault="00000000" w:rsidRPr="00000000" w14:paraId="00000050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>• Проєктна документація ведеться в Google-документах — ви матимете до неї постійний доступ.</w:t>
      </w:r>
    </w:p>
    <w:p w:rsidR="00000000" w:rsidDel="00000000" w:rsidP="00000000" w:rsidRDefault="00000000" w:rsidRPr="00000000" w14:paraId="00000051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>• Оперативна комунікація — у спільній групі WhatsApp (створена одразу під час зустрічі; за потреби можете додати своїх колег).</w:t>
      </w:r>
    </w:p>
    <w:p w:rsidR="00000000" w:rsidDel="00000000" w:rsidP="00000000" w:rsidRDefault="00000000" w:rsidRPr="00000000" w14:paraId="00000052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>• Графік роботи команди ToDo — будні, 9:00–18:00 за Києвом. Звернення в неробочий час опрацьовуються на початку наступного робочого дня.</w:t>
      </w:r>
    </w:p>
    <w:p w:rsidR="00000000" w:rsidDel="00000000" w:rsidP="00000000" w:rsidRDefault="00000000" w:rsidRPr="00000000" w14:paraId="00000053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>• З огляду на різницю часових поясів протягом перших тижнів разом випрацюємо зручний сталий ритм роботи.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>3. Фінансові умови та порядок розрахунків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>Роботи фіксуються погодинно, кратно 15 хвилинам — так зручніше рахувати. Після завершення кожного місяця надається рахунок за фактично виконані роботи. Також щомісяця з вами зв'язуватиметься відділ контролю якості ToDo — ваш відвертий зворотний зв'язок допомагає нам покращуватися. Ставка та валюта розрахунків на зустрічі окремо не озвучувались — винесено у відкриті питання (див. п. 8).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>4. Роль замовника, зупинка проєкту та гарантійні зобов'язання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>• Усі рішення по проєкту ухвалює Станіслав Редька — підтверджено, що так буде протягом усього проєкту.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>• Якщо з будь-якої причини вам потрібно зупинити проєкт — достатньо офіційного листа на пошту керівника відділу і представника комерційного відділу. Роботи фіксуються станом на дату зупинки, подальша співпраця обговорюється окремо.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>• З боку ToDo проєкт може бути призупинено лише в одному випадку — тривала відсутність зворотного зв'язку щодо надісланих рахунків.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>• Майбутні доопрацювання виконуються за попередньо погодженими технічними завданнями, де зафіксовано критерії приймання — за що саме ви приймаєте роботу. На кожну передану роботу діє гарантійний період 3 місяці: якщо результат не відповідає погодженим критеріям, ми виправляємо це безоплатно. Після 3 місяців звернення розглядається вже як новий запит — тому просимо тестувати передані роботи вчасно.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>5. Документи за результатами передпроєктного обстеження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>Після завершення обстеження ви отримаєте: опис розривів функціоналу (що покривається базовими можливостями системи, а що потребуватиме доробки), опис ваших бізнес-процесів «як є» та «як буде», і план проєкту. План проєкту — це, по суті, маршрутна карта впровадження: з нього видно, що робимо, в якому порядку і який бюджет закладати. Саме на його основі ви ухвалюєте рішення, чи рухатись у впровадження.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>6. Знайомство з бізнесом і завдання майбутньої системи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Про бізнес. </w:t>
      </w:r>
      <w:r>
        <w:t>Компанія близько 15 років працює в логістиці (переважно авіаперевезення), а з цього літа активно розвиває торговельний напрям — наразі це торговельно-логістична компанія. Робота ведеться в межах однієї юридичної особи (Гонконг); офіс у Шанхаї — представницький, окремих процесів не має. У системі працюватимуть до 6 користувачів.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Завдання системи. </w:t>
      </w:r>
      <w:r>
        <w:t>Система потрібна саме для обліку — фінансового, управлінського та бухгалтерського (за планом рахунків Гонконгу). Образно кажучи, вона має стати бухгалтерською книгою бізнесу, а не пультом операційного керування: стадії продажів і трекінг вантажів у ній не ведуться.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>Ключові вимоги: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>• Форми транспортних документів — авіаційні накладні та морські коносаменти — з потрібними довідниками (UN/LOCODE — міжнародний довідник локацій, довідники авіакомпаній і перевізників). Це найперший пріоритет.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>• Облік товарних партій і закупівель; простий складський облік — рух коробок, об'єднання та розділення партій.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>• Рахунки по кожній відправці; зведені рахунки (стейтменти) за тиждень або місяць; аванси й відстрочки; перевиставлення наскрізних витрат замовнику з націнкою.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>• Розрахунок прибутковості по кожній відправці (різниця між отриманими і сплаченими сумами) у розрізах: клієнт, менеджер, період.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>• Робота з кількома валютами; основна валюта обліку — долар США.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>• Права доступу: менеджери з продажів бачать лише статус оплати («сплачено / не сплачено»), без доступу до фінансових документів.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>• Перенесення даних: з наявної системи 1С переносяться лише поточні залишки, історія операцій не переноситься.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>• Поза межами системи: митні операції, інтеграції з банками (виписки опрацьовуються вручну) і трекінгом перевізників; наявна система обліку клієнтів (CRM) залишається працювати окремо.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 xml:space="preserve">Окремий процес — «агентська закупівля». </w:t>
      </w:r>
      <w:r>
        <w:t>Ви допомагаєте клієнтам провести оплату постачальникам у Китаї, виступаючи обробником грошового потоку. Домовились детально розібрати цей процес на наступній зустрічі, щоб правильно відобразити його в обліку.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>7. Перелік файлів та документів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>Обговорені в ході зустрічі: транспортні накладні та коносаменти, вхідні й вихідні рахунки, зведені рахунки (стейтменти), документи закупівлі. Документи від замовника на зустрічі не передавались — очікуємо перелік документів (див. п. 8).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>8. Відкриті питання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>1. Перелік документів, які мають бути в системі, — Відповідальний: Станіслав Редька — до 09.06.2026.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>2. Деталі процесу «агентської закупівлі» — розглянемо на наступній зустрічі (09.06.2026).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>3. Вимоги бухгалтерського обліку Гонконгу (план рахунків, формат даних для аудиторів) — Відповідальний: Тимур Ніжніковський спільно з бухгалтером замовника — у межах сесій обстеження.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t>4. Ставка та валюта розрахунків за договором (на зустрічі не озвучувались) — Відповідальний: Юрій Лутай — підтвердити до наступної зустрічі.</w:t>
      </w:r>
    </w:p>
    <w:p w:rsidR="00000000" w:rsidDel="00000000" w:rsidP="00000000" w:rsidRDefault="00000000" w:rsidRPr="00000000" w14:paraId="00000054">
      <w:pPr>
        <w:ind w:firstLine="14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>
        <w:rPr>
          <w:b/>
        </w:rPr>
        <w:t>Наступна зустріч: вівторок, 09.06.2026, 19:00 (за Києвом)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ВИРІШИЛИ:</w:t>
      </w:r>
      <w:r>
        <w:rPr>
          <w:rtl w:val="0"/>
        </w:rPr>
      </w:r>
    </w:p>
    <w:tbl>
      <w:tblPr>
        <w:tblStyle w:val="Table3"/>
        <w:tblW w:w="9526.0" w:type="dxa"/>
        <w:jc w:val="left"/>
        <w:tblInd w:w="137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600"/>
      </w:tblPr>
      <w:tblGrid>
        <w:gridCol w:w="709"/>
        <w:gridCol w:w="5245"/>
        <w:gridCol w:w="1275"/>
        <w:gridCol w:w="2297"/>
        <w:tblGridChange w:id="0">
          <w:tblGrid>
            <w:gridCol w:w="709"/>
            <w:gridCol w:w="5245"/>
            <w:gridCol w:w="1275"/>
            <w:gridCol w:w="229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Рішення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Термін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Відповідальний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ind w:left="600" w:right="26" w:hanging="43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Створено спільну групу для комунікації у WhatsApp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виконано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Юрій Львов (ToDo)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ind w:left="600" w:right="26" w:hanging="43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Щотижнева статусна зустріч — щочетверга о 16:00 за Києвом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з 11.06.2026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ToDo + замовник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ind w:left="600" w:right="26" w:hanging="43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Замовник готує та надсилає перелік документів для системи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до 09.06.2026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Станіслав Редька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ind w:left="600" w:right="26" w:hanging="43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ToDo надсилає уточнюючі питання до наступної зустрічі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03–04.06.2026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Тимур Ніжніковський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ind w:left="600" w:right="26" w:hanging="43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Демонстрація бізнес-процесу замовника команді ToDo та ознайомче демо Odoo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у межах обстеження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ToDo + замовник</w:t>
            </w:r>
          </w:p>
        </w:tc>
      </w:tr>
    </w:tbl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ПОГОДЖЕННЯ</w:t>
      </w:r>
      <w:r>
        <w:rPr>
          <w:rtl w:val="0"/>
        </w:rPr>
      </w:r>
    </w:p>
    <w:tbl>
      <w:tblPr>
        <w:tblStyle w:val="Table4"/>
        <w:tblW w:w="9061.0" w:type="dxa"/>
        <w:jc w:val="left"/>
        <w:tblInd w:w="137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514"/>
        <w:tblGridChange w:id="0">
          <w:tblGrid>
            <w:gridCol w:w="2547"/>
            <w:gridCol w:w="651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Відповідальний</w:t>
            </w:r>
            <w:r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Погоджено/Зауваження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32"/>
          <w:szCs w:val="32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1"/>
        <w:pageBreakBefore w:val="1"/>
        <w:widowControl w:val="0"/>
        <w:pBdr>
          <w:bottom w:color="595959" w:space="1" w:sz="4" w:val="single"/>
        </w:pBdr>
        <w:spacing w:after="60" w:line="276" w:lineRule="auto"/>
        <w:ind w:left="4536" w:firstLine="0"/>
        <w:jc w:val="right"/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mallCaps w:val="1"/>
          <w:color w:val="000000"/>
          <w:sz w:val="28"/>
          <w:szCs w:val="28"/>
          <w:rtl w:val="0"/>
        </w:rPr>
        <w:t xml:space="preserve">ДОДАТОК 1 «Опис бізнес-процесу, процесу, підпроцесу, функції, які підлягають автоматизації»</w:t>
      </w:r>
    </w:p>
    <w:sectPr>
      <w:headerReference r:id="rId15" w:type="default"/>
      <w:footerReference r:id="rId16" w:type="default"/>
      <w:pgSz w:h="16838" w:w="11906" w:orient="portrait"/>
      <w:pgMar w:bottom="850" w:top="850" w:left="1418" w:right="1416" w:header="283" w:footer="0" w:gut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592.0" w:type="dxa"/>
      <w:jc w:val="left"/>
      <w:tblInd w:w="-28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816"/>
      <w:gridCol w:w="7776"/>
      <w:tblGridChange w:id="0">
        <w:tblGrid>
          <w:gridCol w:w="2816"/>
          <w:gridCol w:w="7776"/>
        </w:tblGrid>
      </w:tblGridChange>
    </w:tblGrid>
    <w:tr>
      <w:trPr>
        <w:cantSplit w:val="0"/>
        <w:trHeight w:val="286" w:hRule="atLeast"/>
        <w:tblHeader w:val="0"/>
      </w:trPr>
      <w:tc>
        <w:tcPr/>
        <w:p w:rsidR="00000000" w:rsidDel="00000000" w:rsidP="00000000" w:rsidRDefault="00000000" w:rsidRPr="00000000" w14:paraId="0000009D">
          <w:pPr>
            <w:spacing w:line="276" w:lineRule="auto"/>
            <w:ind w:right="-113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color w:val="bfbfbf"/>
              <w:sz w:val="18"/>
              <w:szCs w:val="18"/>
              <w:rtl w:val="0"/>
            </w:rPr>
            <w:t xml:space="preserve">ToDo: </w:t>
          </w:r>
          <w:r w:rsidDel="00000000" w:rsidR="00000000" w:rsidRPr="00000000">
            <w:rPr>
              <w:rFonts w:ascii="Open Sans" w:cs="Open Sans" w:eastAsia="Open Sans" w:hAnsi="Open Sans"/>
              <w:color w:val="bfbfbf"/>
              <w:sz w:val="18"/>
              <w:szCs w:val="18"/>
              <w:rtl w:val="0"/>
            </w:rPr>
            <w:t xml:space="preserve">Too easy do simple</w:t>
          </w:r>
        </w:p>
      </w:tc>
      <w:tc>
        <w:tcPr/>
        <w:p w:rsidR="00000000" w:rsidDel="00000000" w:rsidP="00000000" w:rsidRDefault="00000000" w:rsidRPr="00000000" w14:paraId="0000009E">
          <w:pPr>
            <w:spacing w:line="276" w:lineRule="auto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3067200" y="3772800"/>
                              <a:ext cx="4557600" cy="14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image11.png"/>
                    <a:graphic>
                      <a:graphicData uri="http://schemas.openxmlformats.org/drawingml/2006/picture">
                        <pic:pic>
                          <pic:nvPicPr>
                            <pic:cNvPr id="0" name="image1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67125" cy="239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6160770</wp:posOffset>
          </wp:positionH>
          <wp:positionV relativeFrom="paragraph">
            <wp:posOffset>-1430019</wp:posOffset>
          </wp:positionV>
          <wp:extent cx="774700" cy="80772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63611" y="3533621"/>
                        <a:ext cx="7764779" cy="492759"/>
                      </a:xfrm>
                      <a:prstGeom prst="rect">
                        <a:avLst/>
                      </a:prstGeom>
                      <a:solidFill>
                        <a:srgbClr val="F7F6F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4304" cy="50228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i w:val="1"/>
        <w:iCs w:val="1"/>
        <w:sz w:val="28"/>
        <w:szCs w:val="28"/>
        <w:highlight w:val="yellow"/>
      </w:rPr>
    </w:pPr>
    <w:r w:rsidDel="00000000" w:rsidR="00000000" w:rsidRPr="00000000">
      <w:rPr>
        <w:rtl w:val="0"/>
      </w:rPr>
    </w:r>
  </w:p>
  <w:tbl>
    <w:tblPr>
      <w:tblStyle w:val="Table5"/>
      <w:tblW w:w="9924.0" w:type="dxa"/>
      <w:jc w:val="left"/>
      <w:tblInd w:w="-42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194"/>
      <w:gridCol w:w="4730"/>
      <w:tblGridChange w:id="0">
        <w:tblGrid>
          <w:gridCol w:w="5194"/>
          <w:gridCol w:w="4730"/>
        </w:tblGrid>
      </w:tblGridChange>
    </w:tblGrid>
    <w:tr>
      <w:trPr>
        <w:cantSplit w:val="0"/>
        <w:trHeight w:val="1087" w:hRule="atLeast"/>
        <w:tblHeader w:val="0"/>
      </w:trPr>
      <w:tc>
        <w:tcPr/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-251" w:right="0" w:firstLine="142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306705</wp:posOffset>
                </wp:positionH>
                <wp:positionV relativeFrom="paragraph">
                  <wp:posOffset>173355</wp:posOffset>
                </wp:positionV>
                <wp:extent cx="1871450" cy="732306"/>
                <wp:effectExtent b="0" l="0" r="0" t="0"/>
                <wp:wrapNone/>
                <wp:docPr id="1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1450" cy="7323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м. Київ, просп. Соборності 7А, оф. 105</w:t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+38 (073) 871 53 13</w:t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sale@todo.ltd</w:t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www.todo.ltd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-957579</wp:posOffset>
          </wp:positionV>
          <wp:extent cx="774700" cy="807720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1" Type="http://schemas.openxmlformats.org/officeDocument/2006/relationships/hyperlink" Target="http://www.todo.ltd" TargetMode="External"/><Relationship Id="rId10" Type="http://schemas.openxmlformats.org/officeDocument/2006/relationships/hyperlink" Target="mailto:sale@todo.ltd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