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BREM Semantic Compiler</w:t>
      </w:r>
    </w:p>
    <w:p>
      <w:pPr>
        <w:spacing w:after="100"/>
        <w:jc w:val="center"/>
      </w:pPr>
      <w:r>
        <w:rPr>
          <w:rFonts w:ascii="Arial" w:cs="Arial" w:eastAsia="Arial" w:hAnsi="Arial"/>
          <w:color w:val="2E86C1"/>
          <w:sz w:val="32"/>
          <w:szCs w:val="32"/>
        </w:rPr>
        <w:t xml:space="preserve">Migration Philosophy, Architecture &amp; Roadmap</w:t>
      </w:r>
    </w:p>
    <w:p>
      <w:pPr>
        <w:pBdr>
          <w:bottom w:val="single" w:color="1B4F72" w:sz="4" w:space="20"/>
        </w:pBdr>
        <w:spacing w:after="600"/>
        <w:jc w:val="center"/>
      </w:pPr>
      <w:r>
        <w:rPr>
          <w:rFonts w:ascii="Arial" w:cs="Arial" w:eastAsia="Arial" w:hAnsi="Arial"/>
          <w:i/>
          <w:iCs/>
          <w:color w:val="666666"/>
          <w:sz w:val="22"/>
          <w:szCs w:val="22"/>
        </w:rPr>
        <w:t xml:space="preserve">Applying the OJT Semantic Commerce Compiler architecture to the Blockchain Risk Evaluation Model</w:t>
      </w:r>
    </w:p>
    <w:p>
      <w:pPr>
        <w:spacing w:after="200"/>
      </w:pPr>
    </w:p>
    <w:p>
      <w:pPr>
        <w:jc w:val="center"/>
      </w:pPr>
      <w:r>
        <w:rPr>
          <w:rFonts w:ascii="Arial" w:cs="Arial" w:eastAsia="Arial" w:hAnsi="Arial"/>
          <w:color w:val="888888"/>
          <w:sz w:val="22"/>
          <w:szCs w:val="22"/>
        </w:rPr>
        <w:t xml:space="preserve">Version 1.0  —  March 2026</w:t>
      </w:r>
    </w:p>
    <w:p>
      <w:pPr>
        <w:spacing w:after="100"/>
        <w:jc w:val="center"/>
      </w:pPr>
      <w:r>
        <w:rPr>
          <w:rFonts w:ascii="Arial" w:cs="Arial" w:eastAsia="Arial" w:hAnsi="Arial"/>
          <w:color w:val="888888"/>
          <w:sz w:val="22"/>
          <w:szCs w:val="22"/>
        </w:rPr>
        <w:t xml:space="preserve">Todd Price</w:t>
      </w:r>
    </w:p>
    <w:p>
      <w:pPr>
        <w:spacing w:before="1200"/>
      </w:pPr>
    </w:p>
    <w:p>
      <w:pPr>
        <w:jc w:val="center"/>
      </w:pPr>
      <w:r>
        <w:rPr>
          <w:rFonts w:ascii="Arial" w:cs="Arial" w:eastAsia="Arial" w:hAnsi="Arial"/>
          <w:b/>
          <w:bCs/>
          <w:color w:val="CC0000"/>
          <w:sz w:val="20"/>
          <w:szCs w:val="20"/>
        </w:rPr>
        <w:t xml:space="preserve">CONFIDENTIAL</w:t>
      </w:r>
    </w:p>
    <w:p>
      <w:r>
        <w:br w:type="page"/>
      </w:r>
    </w:p>
    <w:p>
      <w:pPr>
        <w:pStyle w:val="Heading1"/>
        <w:spacing w:after="200" w:before="400"/>
      </w:pPr>
      <w:r>
        <w:rPr>
          <w:rFonts w:ascii="Arial" w:cs="Arial" w:eastAsia="Arial" w:hAnsi="Arial"/>
          <w:b/>
          <w:bCs/>
          <w:color w:val="1B4F72"/>
          <w:sz w:val="32"/>
          <w:szCs w:val="32"/>
        </w:rPr>
        <w:t xml:space="preserve">1. Executive Summary</w:t>
      </w:r>
    </w:p>
    <w:p>
      <w:pPr>
        <w:spacing w:after="160"/>
      </w:pPr>
      <w:r>
        <w:rPr>
          <w:rFonts w:ascii="Arial" w:cs="Arial" w:eastAsia="Arial" w:hAnsi="Arial"/>
          <w:sz w:val="22"/>
          <w:szCs w:val="22"/>
        </w:rPr>
        <w:t xml:space="preserve">BREM (Blockchain Risk Evaluation Model) is already a compiler. The 9-cell SP²P matrix is a type system. The branching decision logic is a pattern matcher. The asymmetric weighting is an optimiser. The 83-project dataset is a training corpus with empirical validation (F1=0.929, 92.5% sensitivity, 100% specificity on resolved projects).</w:t>
      </w:r>
    </w:p>
    <w:p>
      <w:pPr>
        <w:spacing w:after="160"/>
      </w:pPr>
      <w:r>
        <w:rPr>
          <w:rFonts w:ascii="Arial" w:cs="Arial" w:eastAsia="Arial" w:hAnsi="Arial"/>
          <w:sz w:val="22"/>
          <w:szCs w:val="22"/>
        </w:rPr>
        <w:t xml:space="preserve">But it is an incomplete compiler. It scores once and forgets. It cannot track how a project changes over time. It cannot explain what changed between assessments. Its de-risking recommendations are free-form narrative, not typed instruments that can be tracked, ordered by impact, and verified when implemented. And it cannot learn from its own prediction errors.</w:t>
      </w:r>
    </w:p>
    <w:p>
      <w:pPr>
        <w:spacing w:after="160"/>
      </w:pPr>
      <w:r>
        <w:rPr>
          <w:rFonts w:ascii="Arial" w:cs="Arial" w:eastAsia="Arial" w:hAnsi="Arial"/>
          <w:sz w:val="22"/>
          <w:szCs w:val="22"/>
        </w:rPr>
        <w:t xml:space="preserve">This document maps the proven OJT (OddJobTodd) semantic commerce compiler architecture onto BREM, identifying exactly which OJT components solve which BREM gaps. It defines a migration philosophy, formal architecture mappings, typed data structures, and a phased implementation roadmap that transforms BREM from a one-shot diagnostic tool into a living, learning risk compiler.</w:t>
      </w:r>
    </w:p>
    <w:p>
      <w:r>
        <w:br w:type="page"/>
      </w:r>
    </w:p>
    <w:p>
      <w:pPr>
        <w:pStyle w:val="Heading1"/>
        <w:spacing w:after="200" w:before="400"/>
      </w:pPr>
      <w:r>
        <w:rPr>
          <w:rFonts w:ascii="Arial" w:cs="Arial" w:eastAsia="Arial" w:hAnsi="Arial"/>
          <w:b/>
          <w:bCs/>
          <w:color w:val="1B4F72"/>
          <w:sz w:val="32"/>
          <w:szCs w:val="32"/>
        </w:rPr>
        <w:t xml:space="preserve">2. Migration Philosophy</w:t>
      </w:r>
    </w:p>
    <w:p>
      <w:pPr>
        <w:pStyle w:val="Heading2"/>
        <w:spacing w:after="200" w:before="240"/>
      </w:pPr>
      <w:r>
        <w:rPr>
          <w:rFonts w:ascii="Arial" w:cs="Arial" w:eastAsia="Arial" w:hAnsi="Arial"/>
          <w:b/>
          <w:bCs/>
          <w:color w:val="1B4F72"/>
          <w:sz w:val="28"/>
          <w:szCs w:val="28"/>
        </w:rPr>
        <w:t xml:space="preserve">2.1 What We Are NOT Doing</w:t>
      </w:r>
    </w:p>
    <w:p>
      <w:pPr>
        <w:spacing w:after="160"/>
      </w:pPr>
      <w:r>
        <w:rPr>
          <w:rFonts w:ascii="Arial" w:cs="Arial" w:eastAsia="Arial" w:hAnsi="Arial"/>
          <w:sz w:val="22"/>
          <w:szCs w:val="22"/>
        </w:rPr>
        <w:t xml:space="preserve">We are not replacing the BREM methodology. The SP²P framework, the 9-cell matrix, the branching decision instrument, and the empirical dataset are the crown jewels. They work. The scoring rubric achieves Cohen’s κ = 0.81 at cell level. The threshold rule (overall ≥ 2.5) catches 92.5% of failures with zero false positives among resolved projects. The sm diagnostic variable (≤ 2 = 0% failure rate) is the single strongest predictor in the entire model.</w:t>
      </w:r>
    </w:p>
    <w:p>
      <w:pPr>
        <w:spacing w:after="160"/>
      </w:pPr>
      <w:r>
        <w:rPr>
          <w:rFonts w:ascii="Arial" w:cs="Arial" w:eastAsia="Arial" w:hAnsi="Arial"/>
          <w:sz w:val="22"/>
          <w:szCs w:val="22"/>
        </w:rPr>
        <w:t xml:space="preserve">None of this changes.</w:t>
      </w:r>
    </w:p>
    <w:p>
      <w:pPr>
        <w:pStyle w:val="Heading2"/>
        <w:spacing w:after="200" w:before="240"/>
      </w:pPr>
      <w:r>
        <w:rPr>
          <w:rFonts w:ascii="Arial" w:cs="Arial" w:eastAsia="Arial" w:hAnsi="Arial"/>
          <w:b/>
          <w:bCs/>
          <w:color w:val="1B4F72"/>
          <w:sz w:val="28"/>
          <w:szCs w:val="28"/>
        </w:rPr>
        <w:t xml:space="preserve">2.2 What We ARE Doing</w:t>
      </w:r>
    </w:p>
    <w:p>
      <w:pPr>
        <w:spacing w:after="160"/>
      </w:pPr>
      <w:r>
        <w:rPr>
          <w:rFonts w:ascii="Arial" w:cs="Arial" w:eastAsia="Arial" w:hAnsi="Arial"/>
          <w:sz w:val="22"/>
          <w:szCs w:val="22"/>
        </w:rPr>
        <w:t xml:space="preserve">We are wrapping the existing BREM scoring engine in a compiler pipeline that adds four capabilities it currently lacks:</w:t>
      </w:r>
    </w:p>
    <w:p>
      <w:pPr>
        <w:pStyle w:val="ListParagraph"/>
        <w:numPr>
          <w:ilvl w:val="0"/>
          <w:numId w:val="2"/>
        </w:numPr>
        <w:spacing w:after="80"/>
      </w:pPr>
      <w:r>
        <w:rPr>
          <w:rFonts w:ascii="Arial" w:cs="Arial" w:eastAsia="Arial" w:hAnsi="Arial"/>
          <w:b/>
          <w:bCs/>
          <w:sz w:val="22"/>
          <w:szCs w:val="22"/>
        </w:rPr>
        <w:t xml:space="preserve">Accumulated State. </w:t>
      </w:r>
      <w:r>
        <w:rPr>
          <w:rFonts w:ascii="Arial" w:cs="Arial" w:eastAsia="Arial" w:hAnsi="Arial"/>
          <w:sz w:val="22"/>
          <w:szCs w:val="22"/>
        </w:rPr>
        <w:t xml:space="preserve">Assessments become living documents. Each new evidence upload, chat exchange, or external event merges into a persistent project state with cryptographic hashing at every boundary.</w:t>
      </w:r>
    </w:p>
    <w:p>
      <w:pPr>
        <w:pStyle w:val="ListParagraph"/>
        <w:numPr>
          <w:ilvl w:val="0"/>
          <w:numId w:val="2"/>
        </w:numPr>
        <w:spacing w:after="80"/>
      </w:pPr>
      <w:r>
        <w:rPr>
          <w:rFonts w:ascii="Arial" w:cs="Arial" w:eastAsia="Arial" w:hAnsi="Arial"/>
          <w:b/>
          <w:bCs/>
          <w:sz w:val="22"/>
          <w:szCs w:val="22"/>
        </w:rPr>
        <w:t xml:space="preserve">Delta Tracking. </w:t>
      </w:r>
      <w:r>
        <w:rPr>
          <w:rFonts w:ascii="Arial" w:cs="Arial" w:eastAsia="Arial" w:hAnsi="Arial"/>
          <w:sz w:val="22"/>
          <w:szCs w:val="22"/>
        </w:rPr>
        <w:t xml:space="preserve">Every state change is captured as a typed diff. When Stripe adds independent validators (nc: 4→2), the system can say exactly what changed, when, and what the score impact was.</w:t>
      </w:r>
    </w:p>
    <w:p>
      <w:pPr>
        <w:pStyle w:val="ListParagraph"/>
        <w:numPr>
          <w:ilvl w:val="0"/>
          <w:numId w:val="2"/>
        </w:numPr>
        <w:spacing w:after="80"/>
      </w:pPr>
      <w:r>
        <w:rPr>
          <w:rFonts w:ascii="Arial" w:cs="Arial" w:eastAsia="Arial" w:hAnsi="Arial"/>
          <w:b/>
          <w:bCs/>
          <w:sz w:val="22"/>
          <w:szCs w:val="22"/>
        </w:rPr>
        <w:t xml:space="preserve">Typed Mitigation Instruments. </w:t>
      </w:r>
      <w:r>
        <w:rPr>
          <w:rFonts w:ascii="Arial" w:cs="Arial" w:eastAsia="Arial" w:hAnsi="Arial"/>
          <w:sz w:val="22"/>
          <w:szCs w:val="22"/>
        </w:rPr>
        <w:t xml:space="preserve">De-risking recommendations become first-class objects with target cells, impact scores, dependency chains, and verification criteria—not prose buried in reports.</w:t>
      </w:r>
    </w:p>
    <w:p>
      <w:pPr>
        <w:pStyle w:val="ListParagraph"/>
        <w:numPr>
          <w:ilvl w:val="0"/>
          <w:numId w:val="2"/>
        </w:numPr>
        <w:spacing w:after="80"/>
      </w:pPr>
      <w:r>
        <w:rPr>
          <w:rFonts w:ascii="Arial" w:cs="Arial" w:eastAsia="Arial" w:hAnsi="Arial"/>
          <w:b/>
          <w:bCs/>
          <w:sz w:val="22"/>
          <w:szCs w:val="22"/>
        </w:rPr>
        <w:t xml:space="preserve">Profile-Guided Optimisation (PGO). </w:t>
      </w:r>
      <w:r>
        <w:rPr>
          <w:rFonts w:ascii="Arial" w:cs="Arial" w:eastAsia="Arial" w:hAnsi="Arial"/>
          <w:sz w:val="22"/>
          <w:szCs w:val="22"/>
        </w:rPr>
        <w:t xml:space="preserve">When scored projects resolve (fail or survive), the outcome feeds back into weight calibration and signal attribution, systematically improving accuracy over time.</w:t>
      </w:r>
    </w:p>
    <w:p>
      <w:pPr>
        <w:pStyle w:val="Heading2"/>
        <w:spacing w:after="200" w:before="240"/>
      </w:pPr>
      <w:r>
        <w:rPr>
          <w:rFonts w:ascii="Arial" w:cs="Arial" w:eastAsia="Arial" w:hAnsi="Arial"/>
          <w:b/>
          <w:bCs/>
          <w:color w:val="1B4F72"/>
          <w:sz w:val="28"/>
          <w:szCs w:val="28"/>
        </w:rPr>
        <w:t xml:space="preserve">2.3 The Guiding Principle</w:t>
      </w:r>
    </w:p>
    <w:p>
      <w:pPr>
        <w:spacing w:after="160"/>
      </w:pPr>
      <w:r>
        <w:rPr>
          <w:rFonts w:ascii="Arial" w:cs="Arial" w:eastAsia="Arial" w:hAnsi="Arial"/>
          <w:sz w:val="22"/>
          <w:szCs w:val="22"/>
        </w:rPr>
        <w:t xml:space="preserve">Every change must be empirically testable against the 83-project dataset. If a change does not improve F1, sensitivity, or specificity on the existing data, it does not ship. The dataset is the ground truth. The compiler serves the dataset, not the other way around.</w:t>
      </w:r>
    </w:p>
    <w:p>
      <w:r>
        <w:br w:type="page"/>
      </w:r>
    </w:p>
    <w:p>
      <w:pPr>
        <w:pStyle w:val="Heading1"/>
        <w:spacing w:after="200" w:before="400"/>
      </w:pPr>
      <w:r>
        <w:rPr>
          <w:rFonts w:ascii="Arial" w:cs="Arial" w:eastAsia="Arial" w:hAnsi="Arial"/>
          <w:b/>
          <w:bCs/>
          <w:color w:val="1B4F72"/>
          <w:sz w:val="32"/>
          <w:szCs w:val="32"/>
        </w:rPr>
        <w:t xml:space="preserve">3. Architecture Mapping: OJT → BREM</w:t>
      </w:r>
    </w:p>
    <w:p>
      <w:pPr>
        <w:spacing w:after="160"/>
      </w:pPr>
      <w:r>
        <w:rPr>
          <w:rFonts w:ascii="Arial" w:cs="Arial" w:eastAsia="Arial" w:hAnsi="Arial"/>
          <w:sz w:val="22"/>
          <w:szCs w:val="22"/>
        </w:rPr>
        <w:t xml:space="preserve">The table below maps each compiler phase from OJT’s semantic commerce pipeline to its BREM equivalent. Where BREM currently has no equivalent, the “BREM (Target)” column describes what will be built.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448"/>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OJT (Current)</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BREM (Current)</w:t>
            </w:r>
          </w:p>
        </w:tc>
        <w:tc>
          <w:tcPr>
            <w:tcW w:type="dxa" w:w="24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BREM (Target)</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message (text/voice/photo)</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Whitepaper, docs, regulatory filings</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 + live monitoring feeds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LEXER</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extractionSchema.ts — Zod-validated MessageExtraction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Haiku chunking — extract relevant text per cell</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 but chunks accumulate into evidence chains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PARSER</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mergeExtraction() — AccumulatedJobState with delta tracking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MISSING — no state accumulation</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mergeEvidence() — AccumulatedProjectState with per-cell evidence, hashes, deltas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AST</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AccumulatedJobState — 40+ typed fields across 5 dimensions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MISSING — scores are ephemeral</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AccumulatedProjectState — 9 cell evidence chains + classification + history</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TYPE
CHECKER</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categoryResolver.ts — WHAT/HOW/INST triple resolution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Threat model in LLM prompt (untyped)</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ProjectClassifier — typed resolution of protocol family, threat model, governance type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OPTIMISER</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quoteWorthinessService — weighted scoring with category adjustments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Asymmetric weights + domain ceiling (deterministic post-Claude)</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 + PGO-calibrated weights from outcome feedback</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CODEGEN</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instrumentService.ts — 6 typed renderers (ROM, fixed-price, itemised, etc.)</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HTML report synthesis (free-form)</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Typed MitigationInstrument[] + typed report + comparison instruments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Chat loop — multi-turn extraction + scoring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Chat loop (5 tool-use rounds, 3 continuations)</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 + re-scoring on evidence change + monitoring triggers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DIAGNOSTICS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disagreementAnalysis.ts — PGO with signal attribution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MISSING — no outcome feedback</w:t>
            </w:r>
          </w:p>
        </w:tc>
        <w:tc>
          <w:tcPr>
            <w:tcW w:type="dxa" w:w="2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BREMDisagreementAnalysis — outcome feedback, weight calibration, signal attribution</w:t>
            </w:r>
          </w:p>
        </w:tc>
      </w:tr>
    </w:tbl>
    <w:p>
      <w:r>
        <w:br w:type="page"/>
      </w:r>
    </w:p>
    <w:p>
      <w:pPr>
        <w:pStyle w:val="Heading1"/>
        <w:spacing w:after="200" w:before="400"/>
      </w:pPr>
      <w:r>
        <w:rPr>
          <w:rFonts w:ascii="Arial" w:cs="Arial" w:eastAsia="Arial" w:hAnsi="Arial"/>
          <w:b/>
          <w:bCs/>
          <w:color w:val="1B4F72"/>
          <w:sz w:val="32"/>
          <w:szCs w:val="32"/>
        </w:rPr>
        <w:t xml:space="preserve">4. Core Typed Data Structures</w:t>
      </w:r>
    </w:p>
    <w:p>
      <w:pPr>
        <w:pStyle w:val="Heading2"/>
        <w:spacing w:after="200" w:before="240"/>
      </w:pPr>
      <w:r>
        <w:rPr>
          <w:rFonts w:ascii="Arial" w:cs="Arial" w:eastAsia="Arial" w:hAnsi="Arial"/>
          <w:b/>
          <w:bCs/>
          <w:color w:val="1B4F72"/>
          <w:sz w:val="28"/>
          <w:szCs w:val="28"/>
        </w:rPr>
        <w:t xml:space="preserve">4.1 ProjectClassification (Type Checker)</w:t>
      </w:r>
    </w:p>
    <w:p>
      <w:pPr>
        <w:spacing w:after="160"/>
      </w:pPr>
      <w:r>
        <w:rPr>
          <w:rFonts w:ascii="Arial" w:cs="Arial" w:eastAsia="Arial" w:hAnsi="Arial"/>
          <w:sz w:val="22"/>
          <w:szCs w:val="22"/>
        </w:rPr>
        <w:t xml:space="preserve">Resolved deterministically before cell scoring begins. Drives weight adjustments, composition rules, and benchmark matching. This is the BREM equivalent of OJT’s CategoryResolution.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48"/>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Values / Description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protocolFamily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utxo | account_based | dag | hybrid | custodial | custom</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threatModel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cooperative | adversarial | hybrid — from SPF 2.0 Threat Model Context Filter</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governanceType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single_entity | consortium | open_community | dao | immutable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platformCount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Number of independent platforms for dependency decomposition (Extension 1)</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enterprise | defi — determines benchmark pool</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typeHash</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 (64 hex)</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SHA256(protocolFamily + ":" + threatModel + ":" + governanceType) — bridges to Semantos</w:t>
            </w:r>
          </w:p>
        </w:tc>
      </w:tr>
    </w:tbl>
    <w:p>
      <w:pPr>
        <w:spacing w:after="200"/>
      </w:pPr>
    </w:p>
    <w:p>
      <w:pPr>
        <w:pStyle w:val="Heading2"/>
        <w:spacing w:after="200" w:before="240"/>
      </w:pPr>
      <w:r>
        <w:rPr>
          <w:rFonts w:ascii="Arial" w:cs="Arial" w:eastAsia="Arial" w:hAnsi="Arial"/>
          <w:b/>
          <w:bCs/>
          <w:color w:val="1B4F72"/>
          <w:sz w:val="28"/>
          <w:szCs w:val="28"/>
        </w:rPr>
        <w:t xml:space="preserve">4.2 AccumulatedProjectState (AST)</w:t>
      </w:r>
    </w:p>
    <w:p>
      <w:pPr>
        <w:spacing w:after="160"/>
      </w:pPr>
      <w:r>
        <w:rPr>
          <w:rFonts w:ascii="Arial" w:cs="Arial" w:eastAsia="Arial" w:hAnsi="Arial"/>
          <w:sz w:val="22"/>
          <w:szCs w:val="22"/>
        </w:rPr>
        <w:t xml:space="preserve">The persistent, versioned state of a BREM assessment. Every evidence merge produces a new state hash. Every cell re-score is a delta against the previous state.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2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ProjectClassification (resolved at Step 0, immutable for assessment version)</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cellStates[9]</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Per-cell: { score, branchPath, evidence[], reasoning, confidence, lastScoredAt, evidenceHash }</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domainScores[3]</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Network, SystemState, Law — derived (mean of 3 cells each)</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overallScore</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Derived: mean of 9 cells (flat) + asymmetric-weighted + domain ceiling flags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extensions</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smEffective, asymmetricScore, domainCeilingFlags[], dependencyPenalty }</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mitigations[]</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Array of MitigationInstrument objects (see §4.3)</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stateHash</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SHA256 of full serialised state — integrity anchor</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prevStateHash</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Hash of state before last merge — Patch cell PREV-STATE</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Monotonic version counter (increments on every evidence merge)</w:t>
            </w:r>
          </w:p>
        </w:tc>
      </w:tr>
    </w:tbl>
    <w:p>
      <w:pPr>
        <w:spacing w:after="200"/>
      </w:pPr>
    </w:p>
    <w:p>
      <w:pPr>
        <w:pStyle w:val="Heading2"/>
        <w:spacing w:after="200" w:before="240"/>
      </w:pPr>
      <w:r>
        <w:rPr>
          <w:rFonts w:ascii="Arial" w:cs="Arial" w:eastAsia="Arial" w:hAnsi="Arial"/>
          <w:b/>
          <w:bCs/>
          <w:color w:val="1B4F72"/>
          <w:sz w:val="28"/>
          <w:szCs w:val="28"/>
        </w:rPr>
        <w:t xml:space="preserve">4.3 MitigationInstrument (Codegen)</w:t>
      </w:r>
    </w:p>
    <w:p>
      <w:pPr>
        <w:spacing w:after="160"/>
      </w:pPr>
      <w:r>
        <w:rPr>
          <w:rFonts w:ascii="Arial" w:cs="Arial" w:eastAsia="Arial" w:hAnsi="Arial"/>
          <w:sz w:val="22"/>
          <w:szCs w:val="22"/>
        </w:rPr>
        <w:t xml:space="preserve">Each de-risking recommendation is a first-class typed object. Replaces free-form prose in assessment reports. Enables tracking, ordering by impact, dependency resolution, and verification.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48"/>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cell</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BREMCell</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Target cell (na, nc, ns, se, sm, sf, ls, lr, lp)</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currentScore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0–4</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Score at time of recommendation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targetScore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0–4</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Score achievable if mitigation implemented</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 (slug)</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Machine-readable action (expand_validator_set, publish_governance, etc.)</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Human-readable description of what needs to happen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critical | high | moderate | low — derived from asymmetric weight of target cell</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asymmetryRatio</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Cell’s empirical asymmetry (nc=8.22, se=4.53, na=2.07, etc.) — orders priority</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Other mitigations that must complete first (e.g., sm must drop before nc can)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precedent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 to a project in the 83-project dataset that implemented this mitigation</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verificationCriteria</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What evidence would prove implementation (on-chain verification, governance doc URL, etc.)</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6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recommended | in_progress | implemented | verified | rejected</w:t>
            </w:r>
          </w:p>
        </w:tc>
      </w:tr>
    </w:tbl>
    <w:p>
      <w:pPr>
        <w:spacing w:after="200"/>
      </w:pPr>
    </w:p>
    <w:p>
      <w:pPr>
        <w:pStyle w:val="Heading2"/>
        <w:spacing w:after="200" w:before="240"/>
      </w:pPr>
      <w:r>
        <w:rPr>
          <w:rFonts w:ascii="Arial" w:cs="Arial" w:eastAsia="Arial" w:hAnsi="Arial"/>
          <w:b/>
          <w:bCs/>
          <w:color w:val="1B4F72"/>
          <w:sz w:val="28"/>
          <w:szCs w:val="28"/>
        </w:rPr>
        <w:t xml:space="preserve">4.4 BREMDisagreementResult (Diagnostics)</w:t>
      </w:r>
    </w:p>
    <w:p>
      <w:pPr>
        <w:spacing w:after="160"/>
      </w:pPr>
      <w:r>
        <w:rPr>
          <w:rFonts w:ascii="Arial" w:cs="Arial" w:eastAsia="Arial" w:hAnsi="Arial"/>
          <w:sz w:val="22"/>
          <w:szCs w:val="22"/>
        </w:rPr>
        <w:t xml:space="preserve">When a scored project resolves, the outcome is classified against the BREM prediction. This is the direct equivalent of OJT’s disagreementAnalysis.ts.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4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true_positive</w:t>
            </w:r>
          </w:p>
        </w:tc>
        <w:tc>
          <w:tcPr>
            <w:tcW w:type="dxa" w:w="6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 predicted elevated risk (≥2.5), project failed</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true_negative</w:t>
            </w:r>
          </w:p>
        </w:tc>
        <w:tc>
          <w:tcPr>
            <w:tcW w:type="dxa" w:w="6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 predicted safe (&lt;2.5), project survived</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false_negative</w:t>
            </w:r>
          </w:p>
        </w:tc>
        <w:tc>
          <w:tcPr>
            <w:tcW w:type="dxa" w:w="6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 predicted safe, project failed — which cells were underscored?</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false_positive</w:t>
            </w:r>
          </w:p>
        </w:tc>
        <w:tc>
          <w:tcPr>
            <w:tcW w:type="dxa" w:w="6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BREM predicted risk, project survived — which cells were overscored?</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domain_masked</w:t>
            </w:r>
          </w:p>
        </w:tc>
        <w:tc>
          <w:tcPr>
            <w:tcW w:type="dxa" w:w="6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Overall &lt;2.5 but domain &gt;3.0 — did domain ceiling rule correctly flag?</w:t>
            </w:r>
          </w:p>
        </w:tc>
      </w:tr>
    </w:tbl>
    <w:p>
      <w:pPr>
        <w:spacing w:after="160"/>
      </w:pPr>
      <w:r>
        <w:rPr>
          <w:rFonts w:ascii="Arial" w:cs="Arial" w:eastAsia="Arial" w:hAnsi="Arial"/>
          <w:sz w:val="22"/>
          <w:szCs w:val="22"/>
        </w:rPr>
        <w:t xml:space="preserve">For each disagreement, signal attribution identifies which cells contributed most to the error, and suggests specific weight adjustments with confidence levels. Over time, this auto-calibrates the asymmetric weights (nc: 8.22×, se: 4.53×) from the empirical data rather than deriving them once from the initial 83-project dataset.</w:t>
      </w:r>
    </w:p>
    <w:p>
      <w:r>
        <w:br w:type="page"/>
      </w:r>
    </w:p>
    <w:p>
      <w:pPr>
        <w:pStyle w:val="Heading1"/>
        <w:spacing w:after="200" w:before="400"/>
      </w:pPr>
      <w:r>
        <w:rPr>
          <w:rFonts w:ascii="Arial" w:cs="Arial" w:eastAsia="Arial" w:hAnsi="Arial"/>
          <w:b/>
          <w:bCs/>
          <w:color w:val="1B4F72"/>
          <w:sz w:val="32"/>
          <w:szCs w:val="32"/>
        </w:rPr>
        <w:t xml:space="preserve">5. Impact on Customer Segments</w:t>
      </w:r>
    </w:p>
    <w:p>
      <w:pPr>
        <w:pStyle w:val="Heading2"/>
        <w:spacing w:after="200" w:before="240"/>
      </w:pPr>
      <w:r>
        <w:rPr>
          <w:rFonts w:ascii="Arial" w:cs="Arial" w:eastAsia="Arial" w:hAnsi="Arial"/>
          <w:b/>
          <w:bCs/>
          <w:color w:val="1B4F72"/>
          <w:sz w:val="28"/>
          <w:szCs w:val="28"/>
        </w:rPr>
        <w:t xml:space="preserve">5.1 Pre-Audit Founders ($499 self-service / $2,499 certified)</w:t>
      </w:r>
    </w:p>
    <w:p>
      <w:pPr>
        <w:spacing w:after="160"/>
      </w:pPr>
      <w:r>
        <w:rPr>
          <w:rFonts w:ascii="Arial" w:cs="Arial" w:eastAsia="Arial" w:hAnsi="Arial"/>
          <w:sz w:val="22"/>
          <w:szCs w:val="22"/>
        </w:rPr>
        <w:t xml:space="preserve">Current: One-shot report. Upload docs, get 9-cell score, read recommendations.</w:t>
      </w:r>
    </w:p>
    <w:p>
      <w:pPr>
        <w:spacing w:after="160"/>
      </w:pPr>
      <w:r>
        <w:rPr>
          <w:rFonts w:ascii="Arial" w:cs="Arial" w:eastAsia="Arial" w:hAnsi="Arial"/>
          <w:sz w:val="22"/>
          <w:szCs w:val="22"/>
        </w:rPr>
        <w:t xml:space="preserve">With compiler: Living assessment. Upload initial docs, get scored. Then implement mitigations and re-upload evidence. The system re-scores only the affected cells, shows the delta (“nc dropped 4→2 after adding independent validators”), and updates the mitigation instrument status. The founder sees a roadmap from their current score to below-threshold, ordered by impact. Each mitigation has verification criteria — they know exactly when they’re done.</w:t>
      </w:r>
    </w:p>
    <w:p>
      <w:pPr>
        <w:spacing w:after="160"/>
      </w:pPr>
      <w:r>
        <w:rPr>
          <w:rFonts w:ascii="Arial" w:cs="Arial" w:eastAsia="Arial" w:hAnsi="Arial"/>
          <w:sz w:val="22"/>
          <w:szCs w:val="22"/>
        </w:rPr>
        <w:t xml:space="preserve">Revenue impact: Converts a transactional $499 into a subscription. Founders return after each milestone to re-score. The $2,499 certified tier becomes a “de-risking programme” with milestone tracking.</w:t>
      </w:r>
    </w:p>
    <w:p>
      <w:pPr>
        <w:pStyle w:val="Heading2"/>
        <w:spacing w:after="200" w:before="240"/>
      </w:pPr>
      <w:r>
        <w:rPr>
          <w:rFonts w:ascii="Arial" w:cs="Arial" w:eastAsia="Arial" w:hAnsi="Arial"/>
          <w:b/>
          <w:bCs/>
          <w:color w:val="1B4F72"/>
          <w:sz w:val="28"/>
          <w:szCs w:val="28"/>
        </w:rPr>
        <w:t xml:space="preserve">5.2 VC Analysts ($5K/mo portfolio tier)</w:t>
      </w:r>
    </w:p>
    <w:p>
      <w:pPr>
        <w:spacing w:after="160"/>
      </w:pPr>
      <w:r>
        <w:rPr>
          <w:rFonts w:ascii="Arial" w:cs="Arial" w:eastAsia="Arial" w:hAnsi="Arial"/>
          <w:sz w:val="22"/>
          <w:szCs w:val="22"/>
        </w:rPr>
        <w:t xml:space="preserve">Current: Individual assessments compared manually.</w:t>
      </w:r>
    </w:p>
    <w:p>
      <w:pPr>
        <w:spacing w:after="160"/>
      </w:pPr>
      <w:r>
        <w:rPr>
          <w:rFonts w:ascii="Arial" w:cs="Arial" w:eastAsia="Arial" w:hAnsi="Arial"/>
          <w:sz w:val="22"/>
          <w:szCs w:val="22"/>
        </w:rPr>
        <w:t xml:space="preserve">With compiler: Portfolio-level diagnostics. Aggregate MitigationInstruments across 12 portfolio companies: “8 of your 12 investments have nc≥3. Consensus is your portfolio’s systematic risk. Here are the 5 highest-impact mitigations across the portfolio, ordered by asymmetric weight.” The PGO loop means the portfolio risk model improves with every outcome resolution.</w:t>
      </w:r>
    </w:p>
    <w:p>
      <w:pPr>
        <w:spacing w:after="160"/>
      </w:pPr>
      <w:r>
        <w:rPr>
          <w:rFonts w:ascii="Arial" w:cs="Arial" w:eastAsia="Arial" w:hAnsi="Arial"/>
          <w:sz w:val="22"/>
          <w:szCs w:val="22"/>
        </w:rPr>
        <w:t xml:space="preserve">Revenue impact: Portfolio dashboards become indispensable. The compiler’s ability to track mitigation progress across investments justifies the $5K/mo as an ongoing operating tool, not a one-time analysis.</w:t>
      </w:r>
    </w:p>
    <w:p>
      <w:pPr>
        <w:pStyle w:val="Heading2"/>
        <w:spacing w:after="200" w:before="240"/>
      </w:pPr>
      <w:r>
        <w:rPr>
          <w:rFonts w:ascii="Arial" w:cs="Arial" w:eastAsia="Arial" w:hAnsi="Arial"/>
          <w:b/>
          <w:bCs/>
          <w:color w:val="1B4F72"/>
          <w:sz w:val="28"/>
          <w:szCs w:val="28"/>
        </w:rPr>
        <w:t xml:space="preserve">5.3 Grant Program Managers ($50K–$200K/yr)</w:t>
      </w:r>
    </w:p>
    <w:p>
      <w:pPr>
        <w:spacing w:after="160"/>
      </w:pPr>
      <w:r>
        <w:rPr>
          <w:rFonts w:ascii="Arial" w:cs="Arial" w:eastAsia="Arial" w:hAnsi="Arial"/>
          <w:sz w:val="22"/>
          <w:szCs w:val="22"/>
        </w:rPr>
        <w:t xml:space="preserve">Current: Bulk scoring of applications.</w:t>
      </w:r>
    </w:p>
    <w:p>
      <w:pPr>
        <w:spacing w:after="160"/>
      </w:pPr>
      <w:r>
        <w:rPr>
          <w:rFonts w:ascii="Arial" w:cs="Arial" w:eastAsia="Arial" w:hAnsi="Arial"/>
          <w:sz w:val="22"/>
          <w:szCs w:val="22"/>
        </w:rPr>
        <w:t xml:space="preserve">With compiler: Typed mitigations with dependency chains become grant conditions. “We’ll fund you at sm=3, but the second tranche requires publishing a governance framework (sm→2) within 6 months. Verification: governance-framework.pdf uploaded and cell re-scored.” The delta tracking proves compliance. The ecosystem can track aggregate sm scores across all grantees over time.</w:t>
      </w:r>
    </w:p>
    <w:p>
      <w:pPr>
        <w:spacing w:after="160"/>
      </w:pPr>
      <w:r>
        <w:rPr>
          <w:rFonts w:ascii="Arial" w:cs="Arial" w:eastAsia="Arial" w:hAnsi="Arial"/>
          <w:sz w:val="22"/>
          <w:szCs w:val="22"/>
        </w:rPr>
        <w:t xml:space="preserve">Revenue impact: Contract value increases because the tool now enforces conditions, not just diagnoses risk.</w:t>
      </w:r>
    </w:p>
    <w:p>
      <w:r>
        <w:br w:type="page"/>
      </w:r>
    </w:p>
    <w:p>
      <w:pPr>
        <w:pStyle w:val="Heading1"/>
        <w:spacing w:after="200" w:before="400"/>
      </w:pPr>
      <w:r>
        <w:rPr>
          <w:rFonts w:ascii="Arial" w:cs="Arial" w:eastAsia="Arial" w:hAnsi="Arial"/>
          <w:b/>
          <w:bCs/>
          <w:color w:val="1B4F72"/>
          <w:sz w:val="32"/>
          <w:szCs w:val="32"/>
        </w:rPr>
        <w:t xml:space="preserve">6. Semantos Bridge</w:t>
      </w:r>
    </w:p>
    <w:p>
      <w:pPr>
        <w:spacing w:after="160"/>
      </w:pPr>
      <w:r>
        <w:rPr>
          <w:rFonts w:ascii="Arial" w:cs="Arial" w:eastAsia="Arial" w:hAnsi="Arial"/>
          <w:sz w:val="22"/>
          <w:szCs w:val="22"/>
        </w:rPr>
        <w:t xml:space="preserve">Every BREM assessment maps to semantos 1KB cells using the identical bridge architecture built for OJT:</w:t>
      </w:r>
    </w:p>
    <w:p>
      <w:pPr>
        <w:pStyle w:val="ListParagraph"/>
        <w:numPr>
          <w:ilvl w:val="0"/>
          <w:numId w:val="2"/>
        </w:numPr>
        <w:spacing w:after="80"/>
      </w:pPr>
      <w:r>
        <w:rPr>
          <w:rFonts w:ascii="Arial" w:cs="Arial" w:eastAsia="Arial" w:hAnsi="Arial"/>
          <w:b/>
          <w:bCs/>
          <w:sz w:val="22"/>
          <w:szCs w:val="22"/>
        </w:rPr>
        <w:t xml:space="preserve">TYPE-HASH = SHA256(protocolFamily + ":" + threatModel + ":" + governanceType)</w:t>
      </w:r>
      <w:r>
        <w:rPr>
          <w:rFonts w:ascii="Arial" w:cs="Arial" w:eastAsia="Arial" w:hAnsi="Arial"/>
          <w:sz w:val="22"/>
          <w:szCs w:val="22"/>
        </w:rPr>
        <w:t xml:space="preserve"> — same 32 bytes in TypeScript and Forth. Routes cells to the correct handler in the Semantos dispatch system.</w:t>
      </w:r>
    </w:p>
    <w:p>
      <w:pPr>
        <w:pStyle w:val="ListParagraph"/>
        <w:numPr>
          <w:ilvl w:val="0"/>
          <w:numId w:val="2"/>
        </w:numPr>
        <w:spacing w:after="80"/>
      </w:pPr>
      <w:r>
        <w:rPr>
          <w:rFonts w:ascii="Arial" w:cs="Arial" w:eastAsia="Arial" w:hAnsi="Arial"/>
          <w:b/>
          <w:bCs/>
          <w:sz w:val="22"/>
          <w:szCs w:val="22"/>
        </w:rPr>
        <w:t xml:space="preserve">Container (AFFINE) = AccumulatedProjectState</w:t>
      </w:r>
      <w:r>
        <w:rPr>
          <w:rFonts w:ascii="Arial" w:cs="Arial" w:eastAsia="Arial" w:hAnsi="Arial"/>
          <w:sz w:val="22"/>
          <w:szCs w:val="22"/>
        </w:rPr>
        <w:t xml:space="preserve"> — mutable as evidence accumulates, can be safely discarded if assessment is abandoned.</w:t>
      </w:r>
    </w:p>
    <w:p>
      <w:pPr>
        <w:pStyle w:val="ListParagraph"/>
        <w:numPr>
          <w:ilvl w:val="0"/>
          <w:numId w:val="2"/>
        </w:numPr>
        <w:spacing w:after="80"/>
      </w:pPr>
      <w:r>
        <w:rPr>
          <w:rFonts w:ascii="Arial" w:cs="Arial" w:eastAsia="Arial" w:hAnsi="Arial"/>
          <w:b/>
          <w:bCs/>
          <w:sz w:val="22"/>
          <w:szCs w:val="22"/>
        </w:rPr>
        <w:t xml:space="preserve">Patch (LINEAR) = EvidenceMerge</w:t>
      </w:r>
      <w:r>
        <w:rPr>
          <w:rFonts w:ascii="Arial" w:cs="Arial" w:eastAsia="Arial" w:hAnsi="Arial"/>
          <w:sz w:val="22"/>
          <w:szCs w:val="22"/>
        </w:rPr>
        <w:t xml:space="preserve"> — each evidence merge is consumed exactly once, with PREV-STATE validation preventing double-application.</w:t>
      </w:r>
    </w:p>
    <w:p>
      <w:pPr>
        <w:pStyle w:val="ListParagraph"/>
        <w:numPr>
          <w:ilvl w:val="0"/>
          <w:numId w:val="2"/>
        </w:numPr>
        <w:spacing w:after="80"/>
      </w:pPr>
      <w:r>
        <w:rPr>
          <w:rFonts w:ascii="Arial" w:cs="Arial" w:eastAsia="Arial" w:hAnsi="Arial"/>
          <w:b/>
          <w:bCs/>
          <w:sz w:val="22"/>
          <w:szCs w:val="22"/>
        </w:rPr>
        <w:t xml:space="preserve">Capsule (RELEVANT) = Final Assessment Report</w:t>
      </w:r>
      <w:r>
        <w:rPr>
          <w:rFonts w:ascii="Arial" w:cs="Arial" w:eastAsia="Arial" w:hAnsi="Arial"/>
          <w:sz w:val="22"/>
          <w:szCs w:val="22"/>
        </w:rPr>
        <w:t xml:space="preserve"> — immutable, referenceable by all parties, potentially BRC-52 signed for cryptographic attestation.</w:t>
      </w:r>
    </w:p>
    <w:p>
      <w:pPr>
        <w:pStyle w:val="ListParagraph"/>
        <w:numPr>
          <w:ilvl w:val="0"/>
          <w:numId w:val="2"/>
        </w:numPr>
        <w:spacing w:after="80"/>
      </w:pPr>
      <w:r>
        <w:rPr>
          <w:rFonts w:ascii="Arial" w:cs="Arial" w:eastAsia="Arial" w:hAnsi="Arial"/>
          <w:b/>
          <w:bCs/>
          <w:sz w:val="22"/>
          <w:szCs w:val="22"/>
        </w:rPr>
        <w:t xml:space="preserve">MitigationInstrument → Capsule</w:t>
      </w:r>
      <w:r>
        <w:rPr>
          <w:rFonts w:ascii="Arial" w:cs="Arial" w:eastAsia="Arial" w:hAnsi="Arial"/>
          <w:sz w:val="22"/>
          <w:szCs w:val="22"/>
        </w:rPr>
        <w:t xml:space="preserve"> — each typed mitigation can be sealed as an independent Capsule when verified, creating an auditable chain of de-risking actions.</w:t>
      </w:r>
    </w:p>
    <w:p>
      <w:pPr>
        <w:spacing w:after="160"/>
      </w:pPr>
      <w:r>
        <w:rPr>
          <w:rFonts w:ascii="Arial" w:cs="Arial" w:eastAsia="Arial" w:hAnsi="Arial"/>
          <w:sz w:val="22"/>
          <w:szCs w:val="22"/>
        </w:rPr>
        <w:t xml:space="preserve">The 83-project dataset becomes a library of reference Capsules. When scoring a new project, the type checker finds the nearest typed match by type hash prefix (same protocolFamily + governanceType) and surfaces it as a benchmark — not by LLM similarity search, but by deterministic type matching.</w:t>
      </w:r>
    </w:p>
    <w:p>
      <w:pPr>
        <w:pStyle w:val="Heading1"/>
        <w:spacing w:after="200" w:before="400"/>
      </w:pPr>
      <w:r>
        <w:rPr>
          <w:rFonts w:ascii="Arial" w:cs="Arial" w:eastAsia="Arial" w:hAnsi="Arial"/>
          <w:b/>
          <w:bCs/>
          <w:color w:val="1B4F72"/>
          <w:sz w:val="32"/>
          <w:szCs w:val="32"/>
        </w:rPr>
        <w:t xml:space="preserve">7. Multi-Platform Composition Rules</w:t>
      </w:r>
    </w:p>
    <w:p>
      <w:pPr>
        <w:spacing w:after="160"/>
      </w:pPr>
      <w:r>
        <w:rPr>
          <w:rFonts w:ascii="Arial" w:cs="Arial" w:eastAsia="Arial" w:hAnsi="Arial"/>
          <w:sz w:val="22"/>
          <w:szCs w:val="22"/>
        </w:rPr>
        <w:t xml:space="preserve">Project Acacia and Project Guardian exposed that the SP²P framework cannot properly decompose multi-dependency systems. The current sm_eff = min(4, sm_base + ⌈log₂N⌉) applies uniformly, but the Acacia assessment itself noted that composition rules differ by cell.</w:t>
      </w:r>
    </w:p>
    <w:p>
      <w:pPr>
        <w:spacing w:after="160"/>
      </w:pPr>
      <w:r>
        <w:rPr>
          <w:rFonts w:ascii="Arial" w:cs="Arial" w:eastAsia="Arial" w:hAnsi="Arial"/>
          <w:sz w:val="22"/>
          <w:szCs w:val="22"/>
        </w:rPr>
        <w:t xml:space="preserve">The compiler types these rules explicitly: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48"/>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Composition Rule</w:t>
            </w:r>
          </w:p>
        </w:tc>
        <w:tc>
          <w:tcPr>
            <w:tcW w:type="dxa" w:w="5448"/>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na</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max(platform scores) + interop penalty</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Worst architecture dominates; interoperability adds its own surface</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nc</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max(platform scores)</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Weakest consensus dominates system finality guarantees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ns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score of bottleneck platform</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System throughput limited by slowest link; best scalability irrelevant if bottleneck exists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max(platform scores) + log₂(N) penalty</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Execution risk is additive; each platform’s vulnerability surface combines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sm</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min(4, sm_base + ⌈log₂N⌉)</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Union of all governance bodies; uncoordinated mutation compounds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sf</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weighted avg by TVL share</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Economics weighted by where value actually sits</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ls/lr/lp</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score of weakest jurisdiction</w:t>
            </w:r>
          </w:p>
        </w:tc>
        <w:tc>
          <w:tcPr>
            <w:tcW w:type="dxa" w:w="54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Legal chain is only as strong as its weakest link; cross-border gaps dominate</w:t>
            </w:r>
          </w:p>
        </w:tc>
      </w:tr>
    </w:tbl>
    <w:p>
      <w:r>
        <w:br w:type="page"/>
      </w:r>
    </w:p>
    <w:p>
      <w:pPr>
        <w:pStyle w:val="Heading1"/>
        <w:spacing w:after="200" w:before="400"/>
      </w:pPr>
      <w:r>
        <w:rPr>
          <w:rFonts w:ascii="Arial" w:cs="Arial" w:eastAsia="Arial" w:hAnsi="Arial"/>
          <w:b/>
          <w:bCs/>
          <w:color w:val="1B4F72"/>
          <w:sz w:val="32"/>
          <w:szCs w:val="32"/>
        </w:rPr>
        <w:t xml:space="preserve">8. Implementation Roadmap</w:t>
      </w:r>
    </w:p>
    <w:p>
      <w:pPr>
        <w:pStyle w:val="Heading2"/>
        <w:spacing w:after="200" w:before="240"/>
      </w:pPr>
      <w:r>
        <w:rPr>
          <w:rFonts w:ascii="Arial" w:cs="Arial" w:eastAsia="Arial" w:hAnsi="Arial"/>
          <w:b/>
          <w:bCs/>
          <w:color w:val="1B4F72"/>
          <w:sz w:val="28"/>
          <w:szCs w:val="28"/>
        </w:rPr>
        <w:t xml:space="preserve">Phase 1: Typed Infrastructure (Weeks 1–3)</w:t>
      </w:r>
    </w:p>
    <w:p>
      <w:pPr>
        <w:spacing w:after="160"/>
      </w:pPr>
      <w:r>
        <w:rPr>
          <w:rFonts w:ascii="Arial" w:cs="Arial" w:eastAsia="Arial" w:hAnsi="Arial"/>
          <w:sz w:val="22"/>
          <w:szCs w:val="22"/>
        </w:rPr>
        <w:t xml:space="preserve">Zero blockchain dependency. Pure TypeScript. Testable against the 83-project dataset.</w:t>
      </w:r>
    </w:p>
    <w:p>
      <w:pPr>
        <w:pStyle w:val="ListParagraph"/>
        <w:numPr>
          <w:ilvl w:val="0"/>
          <w:numId w:val="2"/>
        </w:numPr>
        <w:spacing w:after="80"/>
      </w:pPr>
      <w:r>
        <w:rPr>
          <w:rFonts w:ascii="Arial" w:cs="Arial" w:eastAsia="Arial" w:hAnsi="Arial"/>
          <w:b/>
          <w:bCs/>
          <w:sz w:val="22"/>
          <w:szCs w:val="22"/>
        </w:rPr>
        <w:t xml:space="preserve">ProjectClassifier </w:t>
      </w:r>
      <w:r>
        <w:rPr>
          <w:rFonts w:ascii="Arial" w:cs="Arial" w:eastAsia="Arial" w:hAnsi="Arial"/>
          <w:sz w:val="22"/>
          <w:szCs w:val="22"/>
        </w:rPr>
        <w:t xml:space="preserve">— resolve protocolFamily, threatModel, governanceType from project metadata. Validate against all 83 projects.</w:t>
      </w:r>
    </w:p>
    <w:p>
      <w:pPr>
        <w:pStyle w:val="ListParagraph"/>
        <w:numPr>
          <w:ilvl w:val="0"/>
          <w:numId w:val="2"/>
        </w:numPr>
        <w:spacing w:after="80"/>
      </w:pPr>
      <w:r>
        <w:rPr>
          <w:rFonts w:ascii="Arial" w:cs="Arial" w:eastAsia="Arial" w:hAnsi="Arial"/>
          <w:b/>
          <w:bCs/>
          <w:sz w:val="22"/>
          <w:szCs w:val="22"/>
        </w:rPr>
        <w:t xml:space="preserve">AccumulatedProjectState </w:t>
      </w:r>
      <w:r>
        <w:rPr>
          <w:rFonts w:ascii="Arial" w:cs="Arial" w:eastAsia="Arial" w:hAnsi="Arial"/>
          <w:sz w:val="22"/>
          <w:szCs w:val="22"/>
        </w:rPr>
        <w:t xml:space="preserve">— data structure with per-cell evidence chains, stateHash, prevStateHash, version counter.</w:t>
      </w:r>
    </w:p>
    <w:p>
      <w:pPr>
        <w:pStyle w:val="ListParagraph"/>
        <w:numPr>
          <w:ilvl w:val="0"/>
          <w:numId w:val="2"/>
        </w:numPr>
        <w:spacing w:after="80"/>
      </w:pPr>
      <w:r>
        <w:rPr>
          <w:rFonts w:ascii="Arial" w:cs="Arial" w:eastAsia="Arial" w:hAnsi="Arial"/>
          <w:b/>
          <w:bCs/>
          <w:sz w:val="22"/>
          <w:szCs w:val="22"/>
        </w:rPr>
        <w:t xml:space="preserve">mergeEvidence() </w:t>
      </w:r>
      <w:r>
        <w:rPr>
          <w:rFonts w:ascii="Arial" w:cs="Arial" w:eastAsia="Arial" w:hAnsi="Arial"/>
          <w:sz w:val="22"/>
          <w:szCs w:val="22"/>
        </w:rPr>
        <w:t xml:space="preserve">— evidence merge function with delta tracking (direct port of OJT’s mergeExtraction pattern).</w:t>
      </w:r>
    </w:p>
    <w:p>
      <w:pPr>
        <w:pStyle w:val="ListParagraph"/>
        <w:numPr>
          <w:ilvl w:val="0"/>
          <w:numId w:val="2"/>
        </w:numPr>
        <w:spacing w:after="80"/>
      </w:pPr>
      <w:r>
        <w:rPr>
          <w:rFonts w:ascii="Arial" w:cs="Arial" w:eastAsia="Arial" w:hAnsi="Arial"/>
          <w:b/>
          <w:bCs/>
          <w:sz w:val="22"/>
          <w:szCs w:val="22"/>
        </w:rPr>
        <w:t xml:space="preserve">MitigationInstrument type </w:t>
      </w:r>
      <w:r>
        <w:rPr>
          <w:rFonts w:ascii="Arial" w:cs="Arial" w:eastAsia="Arial" w:hAnsi="Arial"/>
          <w:sz w:val="22"/>
          <w:szCs w:val="22"/>
        </w:rPr>
        <w:t xml:space="preserve">— full typed structure with action slugs, impact scoring from asymmetric weights, dependency chains.</w:t>
      </w:r>
    </w:p>
    <w:p>
      <w:pPr>
        <w:pStyle w:val="ListParagraph"/>
        <w:numPr>
          <w:ilvl w:val="0"/>
          <w:numId w:val="2"/>
        </w:numPr>
        <w:spacing w:after="80"/>
      </w:pPr>
      <w:r>
        <w:rPr>
          <w:rFonts w:ascii="Arial" w:cs="Arial" w:eastAsia="Arial" w:hAnsi="Arial"/>
          <w:b/>
          <w:bCs/>
          <w:sz w:val="22"/>
          <w:szCs w:val="22"/>
        </w:rPr>
        <w:t xml:space="preserve">Mitigation generator </w:t>
      </w:r>
      <w:r>
        <w:rPr>
          <w:rFonts w:ascii="Arial" w:cs="Arial" w:eastAsia="Arial" w:hAnsi="Arial"/>
          <w:sz w:val="22"/>
          <w:szCs w:val="22"/>
        </w:rPr>
        <w:t xml:space="preserve">— given a scored project, emit ordered MitigationInstrument[] for all cells ≥2. Highest asymmetry ratio first.</w:t>
      </w:r>
    </w:p>
    <w:p>
      <w:pPr>
        <w:pStyle w:val="ListParagraph"/>
        <w:numPr>
          <w:ilvl w:val="0"/>
          <w:numId w:val="2"/>
        </w:numPr>
        <w:spacing w:after="80"/>
      </w:pPr>
      <w:r>
        <w:rPr>
          <w:rFonts w:ascii="Arial" w:cs="Arial" w:eastAsia="Arial" w:hAnsi="Arial"/>
          <w:sz w:val="22"/>
          <w:szCs w:val="22"/>
        </w:rPr>
        <w:t xml:space="preserve">Deliverable: Run all 83 projects through the typed pipeline. Verify scores match existing dataset within ±0.1.</w:t>
      </w:r>
    </w:p>
    <w:p>
      <w:pPr>
        <w:pStyle w:val="Heading2"/>
        <w:spacing w:after="200" w:before="240"/>
      </w:pPr>
      <w:r>
        <w:rPr>
          <w:rFonts w:ascii="Arial" w:cs="Arial" w:eastAsia="Arial" w:hAnsi="Arial"/>
          <w:b/>
          <w:bCs/>
          <w:color w:val="1B4F72"/>
          <w:sz w:val="28"/>
          <w:szCs w:val="28"/>
        </w:rPr>
        <w:t xml:space="preserve">Phase 2: Diagnostics Engine (Weeks 4–5)</w:t>
      </w:r>
    </w:p>
    <w:p>
      <w:pPr>
        <w:spacing w:after="160"/>
      </w:pPr>
      <w:r>
        <w:rPr>
          <w:rFonts w:ascii="Arial" w:cs="Arial" w:eastAsia="Arial" w:hAnsi="Arial"/>
          <w:sz w:val="22"/>
          <w:szCs w:val="22"/>
        </w:rPr>
        <w:t xml:space="preserve">The PGO feedback loop. Uses the 40 resolved failures and 22 resolved successes as the training set.</w:t>
      </w:r>
    </w:p>
    <w:p>
      <w:pPr>
        <w:pStyle w:val="ListParagraph"/>
        <w:numPr>
          <w:ilvl w:val="0"/>
          <w:numId w:val="2"/>
        </w:numPr>
        <w:spacing w:after="80"/>
      </w:pPr>
      <w:r>
        <w:rPr>
          <w:rFonts w:ascii="Arial" w:cs="Arial" w:eastAsia="Arial" w:hAnsi="Arial"/>
          <w:b/>
          <w:bCs/>
          <w:sz w:val="22"/>
          <w:szCs w:val="22"/>
        </w:rPr>
        <w:t xml:space="preserve">BREMDisagreementAnalysis </w:t>
      </w:r>
      <w:r>
        <w:rPr>
          <w:rFonts w:ascii="Arial" w:cs="Arial" w:eastAsia="Arial" w:hAnsi="Arial"/>
          <w:sz w:val="22"/>
          <w:szCs w:val="22"/>
        </w:rPr>
        <w:t xml:space="preserve">— classify each resolved project: TP, TN, FP, FN, domain-masked.</w:t>
      </w:r>
    </w:p>
    <w:p>
      <w:pPr>
        <w:pStyle w:val="ListParagraph"/>
        <w:numPr>
          <w:ilvl w:val="0"/>
          <w:numId w:val="2"/>
        </w:numPr>
        <w:spacing w:after="80"/>
      </w:pPr>
      <w:r>
        <w:rPr>
          <w:rFonts w:ascii="Arial" w:cs="Arial" w:eastAsia="Arial" w:hAnsi="Arial"/>
          <w:b/>
          <w:bCs/>
          <w:sz w:val="22"/>
          <w:szCs w:val="22"/>
        </w:rPr>
        <w:t xml:space="preserve">Signal attribution </w:t>
      </w:r>
      <w:r>
        <w:rPr>
          <w:rFonts w:ascii="Arial" w:cs="Arial" w:eastAsia="Arial" w:hAnsi="Arial"/>
          <w:sz w:val="22"/>
          <w:szCs w:val="22"/>
        </w:rPr>
        <w:t xml:space="preserve">— for each FN (HSBC FX, NASDAQ Linq, SETL), identify which cells were underscored and by how much.</w:t>
      </w:r>
    </w:p>
    <w:p>
      <w:pPr>
        <w:pStyle w:val="ListParagraph"/>
        <w:numPr>
          <w:ilvl w:val="0"/>
          <w:numId w:val="2"/>
        </w:numPr>
        <w:spacing w:after="80"/>
      </w:pPr>
      <w:r>
        <w:rPr>
          <w:rFonts w:ascii="Arial" w:cs="Arial" w:eastAsia="Arial" w:hAnsi="Arial"/>
          <w:b/>
          <w:bCs/>
          <w:sz w:val="22"/>
          <w:szCs w:val="22"/>
        </w:rPr>
        <w:t xml:space="preserve">Weight calibration </w:t>
      </w:r>
      <w:r>
        <w:rPr>
          <w:rFonts w:ascii="Arial" w:cs="Arial" w:eastAsia="Arial" w:hAnsi="Arial"/>
          <w:sz w:val="22"/>
          <w:szCs w:val="22"/>
        </w:rPr>
        <w:t xml:space="preserve">— auto-derive asymmetric weights from the dataset (currently hand-derived). Verify they converge to within 10% of the published values.</w:t>
      </w:r>
    </w:p>
    <w:p>
      <w:pPr>
        <w:pStyle w:val="ListParagraph"/>
        <w:numPr>
          <w:ilvl w:val="0"/>
          <w:numId w:val="2"/>
        </w:numPr>
        <w:spacing w:after="80"/>
      </w:pPr>
      <w:r>
        <w:rPr>
          <w:rFonts w:ascii="Arial" w:cs="Arial" w:eastAsia="Arial" w:hAnsi="Arial"/>
          <w:b/>
          <w:bCs/>
          <w:sz w:val="22"/>
          <w:szCs w:val="22"/>
        </w:rPr>
        <w:t xml:space="preserve">Composition rule validation </w:t>
      </w:r>
      <w:r>
        <w:rPr>
          <w:rFonts w:ascii="Arial" w:cs="Arial" w:eastAsia="Arial" w:hAnsi="Arial"/>
          <w:sz w:val="22"/>
          <w:szCs w:val="22"/>
        </w:rPr>
        <w:t xml:space="preserve">— apply typed composition rules to Acacia/Guardian and verify they improve scoring accuracy vs monolithic assessment.</w:t>
      </w:r>
    </w:p>
    <w:p>
      <w:pPr>
        <w:pStyle w:val="ListParagraph"/>
        <w:numPr>
          <w:ilvl w:val="0"/>
          <w:numId w:val="2"/>
        </w:numPr>
        <w:spacing w:after="80"/>
      </w:pPr>
      <w:r>
        <w:rPr>
          <w:rFonts w:ascii="Arial" w:cs="Arial" w:eastAsia="Arial" w:hAnsi="Arial"/>
          <w:sz w:val="22"/>
          <w:szCs w:val="22"/>
        </w:rPr>
        <w:t xml:space="preserve">Deliverable: PGO-calibrated weights. Documented improvement (or confirmation) of F1 vs current 0.929.</w:t>
      </w:r>
    </w:p>
    <w:p>
      <w:pPr>
        <w:pStyle w:val="Heading2"/>
        <w:spacing w:after="200" w:before="240"/>
      </w:pPr>
      <w:r>
        <w:rPr>
          <w:rFonts w:ascii="Arial" w:cs="Arial" w:eastAsia="Arial" w:hAnsi="Arial"/>
          <w:b/>
          <w:bCs/>
          <w:color w:val="1B4F72"/>
          <w:sz w:val="28"/>
          <w:szCs w:val="28"/>
        </w:rPr>
        <w:t xml:space="preserve">Phase 3: Agent Integration (Weeks 6–8)</w:t>
      </w:r>
    </w:p>
    <w:p>
      <w:pPr>
        <w:spacing w:after="160"/>
      </w:pPr>
      <w:r>
        <w:rPr>
          <w:rFonts w:ascii="Arial" w:cs="Arial" w:eastAsia="Arial" w:hAnsi="Arial"/>
          <w:sz w:val="22"/>
          <w:szCs w:val="22"/>
        </w:rPr>
        <w:t xml:space="preserve">Wire the typed infrastructure into the existing BREM agent pipeline.</w:t>
      </w:r>
    </w:p>
    <w:p>
      <w:pPr>
        <w:pStyle w:val="ListParagraph"/>
        <w:numPr>
          <w:ilvl w:val="0"/>
          <w:numId w:val="2"/>
        </w:numPr>
        <w:spacing w:after="80"/>
      </w:pPr>
      <w:r>
        <w:rPr>
          <w:rFonts w:ascii="Arial" w:cs="Arial" w:eastAsia="Arial" w:hAnsi="Arial"/>
          <w:b/>
          <w:bCs/>
          <w:sz w:val="22"/>
          <w:szCs w:val="22"/>
        </w:rPr>
        <w:t xml:space="preserve">Stage 0 injection </w:t>
      </w:r>
      <w:r>
        <w:rPr>
          <w:rFonts w:ascii="Arial" w:cs="Arial" w:eastAsia="Arial" w:hAnsi="Arial"/>
          <w:sz w:val="22"/>
          <w:szCs w:val="22"/>
        </w:rPr>
        <w:t xml:space="preserve">— ProjectClassifier runs before cell scoring. Classification result injected into every cell prompt.</w:t>
      </w:r>
    </w:p>
    <w:p>
      <w:pPr>
        <w:pStyle w:val="ListParagraph"/>
        <w:numPr>
          <w:ilvl w:val="0"/>
          <w:numId w:val="2"/>
        </w:numPr>
        <w:spacing w:after="80"/>
      </w:pPr>
      <w:r>
        <w:rPr>
          <w:rFonts w:ascii="Arial" w:cs="Arial" w:eastAsia="Arial" w:hAnsi="Arial"/>
          <w:b/>
          <w:bCs/>
          <w:sz w:val="22"/>
          <w:szCs w:val="22"/>
        </w:rPr>
        <w:t xml:space="preserve">Evidence accumulation </w:t>
      </w:r>
      <w:r>
        <w:rPr>
          <w:rFonts w:ascii="Arial" w:cs="Arial" w:eastAsia="Arial" w:hAnsi="Arial"/>
          <w:sz w:val="22"/>
          <w:szCs w:val="22"/>
        </w:rPr>
        <w:t xml:space="preserve">— replace ephemeral scoring with persistent AccumulatedProjectState. Each chat round and document upload merges into state.</w:t>
      </w:r>
    </w:p>
    <w:p>
      <w:pPr>
        <w:pStyle w:val="ListParagraph"/>
        <w:numPr>
          <w:ilvl w:val="0"/>
          <w:numId w:val="2"/>
        </w:numPr>
        <w:spacing w:after="80"/>
      </w:pPr>
      <w:r>
        <w:rPr>
          <w:rFonts w:ascii="Arial" w:cs="Arial" w:eastAsia="Arial" w:hAnsi="Arial"/>
          <w:b/>
          <w:bCs/>
          <w:sz w:val="22"/>
          <w:szCs w:val="22"/>
        </w:rPr>
        <w:t xml:space="preserve">Mitigation codegen </w:t>
      </w:r>
      <w:r>
        <w:rPr>
          <w:rFonts w:ascii="Arial" w:cs="Arial" w:eastAsia="Arial" w:hAnsi="Arial"/>
          <w:sz w:val="22"/>
          <w:szCs w:val="22"/>
        </w:rPr>
        <w:t xml:space="preserve">— replace free-form de-risking prose with structured MitigationInstrument[] in the synthesis stage.</w:t>
      </w:r>
    </w:p>
    <w:p>
      <w:pPr>
        <w:pStyle w:val="ListParagraph"/>
        <w:numPr>
          <w:ilvl w:val="0"/>
          <w:numId w:val="2"/>
        </w:numPr>
        <w:spacing w:after="80"/>
      </w:pPr>
      <w:r>
        <w:rPr>
          <w:rFonts w:ascii="Arial" w:cs="Arial" w:eastAsia="Arial" w:hAnsi="Arial"/>
          <w:b/>
          <w:bCs/>
          <w:sz w:val="22"/>
          <w:szCs w:val="22"/>
        </w:rPr>
        <w:t xml:space="preserve">Re-scoring </w:t>
      </w:r>
      <w:r>
        <w:rPr>
          <w:rFonts w:ascii="Arial" w:cs="Arial" w:eastAsia="Arial" w:hAnsi="Arial"/>
          <w:sz w:val="22"/>
          <w:szCs w:val="22"/>
        </w:rPr>
        <w:t xml:space="preserve">— when new evidence arrives for a specific cell, re-score only that cell and recompute domains/overall.</w:t>
      </w:r>
    </w:p>
    <w:p>
      <w:pPr>
        <w:pStyle w:val="ListParagraph"/>
        <w:numPr>
          <w:ilvl w:val="0"/>
          <w:numId w:val="2"/>
        </w:numPr>
        <w:spacing w:after="80"/>
      </w:pPr>
      <w:r>
        <w:rPr>
          <w:rFonts w:ascii="Arial" w:cs="Arial" w:eastAsia="Arial" w:hAnsi="Arial"/>
          <w:sz w:val="22"/>
          <w:szCs w:val="22"/>
        </w:rPr>
        <w:t xml:space="preserve">Deliverable: Assessment agent produces typed, ordered mitigations. Re-scoring on evidence change works.</w:t>
      </w:r>
    </w:p>
    <w:p>
      <w:pPr>
        <w:pStyle w:val="Heading2"/>
        <w:spacing w:after="200" w:before="240"/>
      </w:pPr>
      <w:r>
        <w:rPr>
          <w:rFonts w:ascii="Arial" w:cs="Arial" w:eastAsia="Arial" w:hAnsi="Arial"/>
          <w:b/>
          <w:bCs/>
          <w:color w:val="1B4F72"/>
          <w:sz w:val="28"/>
          <w:szCs w:val="28"/>
        </w:rPr>
        <w:t xml:space="preserve">Phase 4: Semantos Bridge (Weeks 9–10)</w:t>
      </w:r>
    </w:p>
    <w:p>
      <w:pPr>
        <w:spacing w:after="160"/>
      </w:pPr>
      <w:r>
        <w:rPr>
          <w:rFonts w:ascii="Arial" w:cs="Arial" w:eastAsia="Arial" w:hAnsi="Arial"/>
          <w:sz w:val="22"/>
          <w:szCs w:val="22"/>
        </w:rPr>
        <w:t xml:space="preserve">Connect BREM assessments to the semantos 1KB cell model.</w:t>
      </w:r>
    </w:p>
    <w:p>
      <w:pPr>
        <w:pStyle w:val="ListParagraph"/>
        <w:numPr>
          <w:ilvl w:val="0"/>
          <w:numId w:val="2"/>
        </w:numPr>
        <w:spacing w:after="80"/>
      </w:pPr>
      <w:r>
        <w:rPr>
          <w:rFonts w:ascii="Arial" w:cs="Arial" w:eastAsia="Arial" w:hAnsi="Arial"/>
          <w:b/>
          <w:bCs/>
          <w:sz w:val="22"/>
          <w:szCs w:val="22"/>
        </w:rPr>
        <w:t xml:space="preserve">Type hash registry </w:t>
      </w:r>
      <w:r>
        <w:rPr>
          <w:rFonts w:ascii="Arial" w:cs="Arial" w:eastAsia="Arial" w:hAnsi="Arial"/>
          <w:sz w:val="22"/>
          <w:szCs w:val="22"/>
        </w:rPr>
        <w:t xml:space="preserve">— extend OJT’s typeHashRegistry.ts with BREM classification hashes.</w:t>
      </w:r>
    </w:p>
    <w:p>
      <w:pPr>
        <w:pStyle w:val="ListParagraph"/>
        <w:numPr>
          <w:ilvl w:val="0"/>
          <w:numId w:val="2"/>
        </w:numPr>
        <w:spacing w:after="80"/>
      </w:pPr>
      <w:r>
        <w:rPr>
          <w:rFonts w:ascii="Arial" w:cs="Arial" w:eastAsia="Arial" w:hAnsi="Arial"/>
          <w:b/>
          <w:bCs/>
          <w:sz w:val="22"/>
          <w:szCs w:val="22"/>
        </w:rPr>
        <w:t xml:space="preserve">Cell serialisation </w:t>
      </w:r>
      <w:r>
        <w:rPr>
          <w:rFonts w:ascii="Arial" w:cs="Arial" w:eastAsia="Arial" w:hAnsi="Arial"/>
          <w:sz w:val="22"/>
          <w:szCs w:val="22"/>
        </w:rPr>
        <w:t xml:space="preserve">— pack AccumulatedProjectState into Container cells, evidence merges into Patch cells, final reports into Capsule cells.</w:t>
      </w:r>
    </w:p>
    <w:p>
      <w:pPr>
        <w:pStyle w:val="ListParagraph"/>
        <w:numPr>
          <w:ilvl w:val="0"/>
          <w:numId w:val="2"/>
        </w:numPr>
        <w:spacing w:after="80"/>
      </w:pPr>
      <w:r>
        <w:rPr>
          <w:rFonts w:ascii="Arial" w:cs="Arial" w:eastAsia="Arial" w:hAnsi="Arial"/>
          <w:b/>
          <w:bCs/>
          <w:sz w:val="22"/>
          <w:szCs w:val="22"/>
        </w:rPr>
        <w:t xml:space="preserve">commerce-header.fs extension </w:t>
      </w:r>
      <w:r>
        <w:rPr>
          <w:rFonts w:ascii="Arial" w:cs="Arial" w:eastAsia="Arial" w:hAnsi="Arial"/>
          <w:sz w:val="22"/>
          <w:szCs w:val="22"/>
        </w:rPr>
        <w:t xml:space="preserve">— add BREM phase constants to the Forth header.</w:t>
      </w:r>
    </w:p>
    <w:p>
      <w:pPr>
        <w:pStyle w:val="ListParagraph"/>
        <w:numPr>
          <w:ilvl w:val="0"/>
          <w:numId w:val="2"/>
        </w:numPr>
        <w:spacing w:after="80"/>
      </w:pPr>
      <w:r>
        <w:rPr>
          <w:rFonts w:ascii="Arial" w:cs="Arial" w:eastAsia="Arial" w:hAnsi="Arial"/>
          <w:sz w:val="22"/>
          <w:szCs w:val="22"/>
        </w:rPr>
        <w:t xml:space="preserve">Deliverable: BREM assessments are serialisable as semantos cells. Roundtrip pack/unpack tests pass.</w:t>
      </w:r>
    </w:p>
    <w:p>
      <w:pPr>
        <w:pStyle w:val="Heading2"/>
        <w:spacing w:after="200" w:before="240"/>
      </w:pPr>
      <w:r>
        <w:rPr>
          <w:rFonts w:ascii="Arial" w:cs="Arial" w:eastAsia="Arial" w:hAnsi="Arial"/>
          <w:b/>
          <w:bCs/>
          <w:color w:val="1B4F72"/>
          <w:sz w:val="28"/>
          <w:szCs w:val="28"/>
        </w:rPr>
        <w:t xml:space="preserve">Phase 5: Product Integration (Weeks 11–12)</w:t>
      </w:r>
    </w:p>
    <w:p>
      <w:pPr>
        <w:spacing w:after="160"/>
      </w:pPr>
      <w:r>
        <w:rPr>
          <w:rFonts w:ascii="Arial" w:cs="Arial" w:eastAsia="Arial" w:hAnsi="Arial"/>
          <w:sz w:val="22"/>
          <w:szCs w:val="22"/>
        </w:rPr>
        <w:t xml:space="preserve">Customer-facing features built on the compiler infrastructure.</w:t>
      </w:r>
    </w:p>
    <w:p>
      <w:pPr>
        <w:pStyle w:val="ListParagraph"/>
        <w:numPr>
          <w:ilvl w:val="0"/>
          <w:numId w:val="2"/>
        </w:numPr>
        <w:spacing w:after="80"/>
      </w:pPr>
      <w:r>
        <w:rPr>
          <w:rFonts w:ascii="Arial" w:cs="Arial" w:eastAsia="Arial" w:hAnsi="Arial"/>
          <w:b/>
          <w:bCs/>
          <w:sz w:val="22"/>
          <w:szCs w:val="22"/>
        </w:rPr>
        <w:t xml:space="preserve">Living assessments </w:t>
      </w:r>
      <w:r>
        <w:rPr>
          <w:rFonts w:ascii="Arial" w:cs="Arial" w:eastAsia="Arial" w:hAnsi="Arial"/>
          <w:sz w:val="22"/>
          <w:szCs w:val="22"/>
        </w:rPr>
        <w:t xml:space="preserve">— founders upload new evidence, system re-scores affected cells and shows delta.</w:t>
      </w:r>
    </w:p>
    <w:p>
      <w:pPr>
        <w:pStyle w:val="ListParagraph"/>
        <w:numPr>
          <w:ilvl w:val="0"/>
          <w:numId w:val="2"/>
        </w:numPr>
        <w:spacing w:after="80"/>
      </w:pPr>
      <w:r>
        <w:rPr>
          <w:rFonts w:ascii="Arial" w:cs="Arial" w:eastAsia="Arial" w:hAnsi="Arial"/>
          <w:b/>
          <w:bCs/>
          <w:sz w:val="22"/>
          <w:szCs w:val="22"/>
        </w:rPr>
        <w:t xml:space="preserve">Mitigation roadmap UI </w:t>
      </w:r>
      <w:r>
        <w:rPr>
          <w:rFonts w:ascii="Arial" w:cs="Arial" w:eastAsia="Arial" w:hAnsi="Arial"/>
          <w:sz w:val="22"/>
          <w:szCs w:val="22"/>
        </w:rPr>
        <w:t xml:space="preserve">— visual mitigation tracker ordered by impact, with dependency chains and verification status.</w:t>
      </w:r>
    </w:p>
    <w:p>
      <w:pPr>
        <w:pStyle w:val="ListParagraph"/>
        <w:numPr>
          <w:ilvl w:val="0"/>
          <w:numId w:val="2"/>
        </w:numPr>
        <w:spacing w:after="80"/>
      </w:pPr>
      <w:r>
        <w:rPr>
          <w:rFonts w:ascii="Arial" w:cs="Arial" w:eastAsia="Arial" w:hAnsi="Arial"/>
          <w:b/>
          <w:bCs/>
          <w:sz w:val="22"/>
          <w:szCs w:val="22"/>
        </w:rPr>
        <w:t xml:space="preserve">Portfolio diagnostics </w:t>
      </w:r>
      <w:r>
        <w:rPr>
          <w:rFonts w:ascii="Arial" w:cs="Arial" w:eastAsia="Arial" w:hAnsi="Arial"/>
          <w:sz w:val="22"/>
          <w:szCs w:val="22"/>
        </w:rPr>
        <w:t xml:space="preserve">— VC dashboard aggregating MitigationInstruments across portfolio companies.</w:t>
      </w:r>
    </w:p>
    <w:p>
      <w:pPr>
        <w:pStyle w:val="ListParagraph"/>
        <w:numPr>
          <w:ilvl w:val="0"/>
          <w:numId w:val="2"/>
        </w:numPr>
        <w:spacing w:after="80"/>
      </w:pPr>
      <w:r>
        <w:rPr>
          <w:rFonts w:ascii="Arial" w:cs="Arial" w:eastAsia="Arial" w:hAnsi="Arial"/>
          <w:b/>
          <w:bCs/>
          <w:sz w:val="22"/>
          <w:szCs w:val="22"/>
        </w:rPr>
        <w:t xml:space="preserve">Grant condition engine </w:t>
      </w:r>
      <w:r>
        <w:rPr>
          <w:rFonts w:ascii="Arial" w:cs="Arial" w:eastAsia="Arial" w:hAnsi="Arial"/>
          <w:sz w:val="22"/>
          <w:szCs w:val="22"/>
        </w:rPr>
        <w:t xml:space="preserve">— API for ecosystem grant programs to set typed, verifiable conditions based on cell scores.</w:t>
      </w:r>
    </w:p>
    <w:p>
      <w:pPr>
        <w:pStyle w:val="ListParagraph"/>
        <w:numPr>
          <w:ilvl w:val="0"/>
          <w:numId w:val="2"/>
        </w:numPr>
        <w:spacing w:after="80"/>
      </w:pPr>
      <w:r>
        <w:rPr>
          <w:rFonts w:ascii="Arial" w:cs="Arial" w:eastAsia="Arial" w:hAnsi="Arial"/>
          <w:sz w:val="22"/>
          <w:szCs w:val="22"/>
        </w:rPr>
        <w:t xml:space="preserve">Deliverable: All three customer segments (founder, VC, grant program) have compiler-powered features live.</w:t>
      </w:r>
    </w:p>
    <w:p>
      <w:r>
        <w:br w:type="page"/>
      </w:r>
    </w:p>
    <w:p>
      <w:pPr>
        <w:pStyle w:val="Heading1"/>
        <w:spacing w:after="200" w:before="400"/>
      </w:pPr>
      <w:r>
        <w:rPr>
          <w:rFonts w:ascii="Arial" w:cs="Arial" w:eastAsia="Arial" w:hAnsi="Arial"/>
          <w:b/>
          <w:bCs/>
          <w:color w:val="1B4F72"/>
          <w:sz w:val="32"/>
          <w:szCs w:val="32"/>
        </w:rPr>
        <w:t xml:space="preserve">9. Success Metrics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2824"/>
        <w:gridCol w:w="3024"/>
      </w:tblGrid>
      <w:tr>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24"/>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024"/>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F1 Score (resolved projects)</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0.929 (with extensions)</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≥0.929 (no regression)</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Sensitivity</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92.5% (37/40 failures)</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≥92.5% (≥37/40)</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Specificity (resolved)</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PGO weight convergence</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 (hand-derived)</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Auto-derived within ±10% of published</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Mitigation instruments per assessment</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(prose only)</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3–7 typed, ordered by impact</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Re-score latency (single cell)</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re-run (~45s)</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&lt;5s (targeted cell re-score)</w:t>
            </w:r>
          </w:p>
        </w:tc>
      </w:tr>
      <w:tr>
        <w:tc>
          <w:tcPr>
            <w:tcW w:type="dxa" w:w="3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Assessment state versions</w:t>
            </w:r>
          </w:p>
        </w:tc>
        <w:tc>
          <w:tcPr>
            <w:tcW w:type="dxa" w:w="28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(ephemeral)</w:t>
            </w:r>
          </w:p>
        </w:tc>
        <w:tc>
          <w:tcPr>
            <w:tcW w:type="dxa" w:w="3024"/>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Unlimited (persisted with full history)</w:t>
            </w:r>
          </w:p>
        </w:tc>
      </w:tr>
    </w:tbl>
    <w:p>
      <w:pPr>
        <w:spacing w:before="400"/>
      </w:pPr>
    </w:p>
    <w:p>
      <w:pPr>
        <w:pStyle w:val="Heading1"/>
        <w:spacing w:after="200" w:before="400"/>
      </w:pPr>
      <w:r>
        <w:rPr>
          <w:rFonts w:ascii="Arial" w:cs="Arial" w:eastAsia="Arial" w:hAnsi="Arial"/>
          <w:b/>
          <w:bCs/>
          <w:color w:val="1B4F72"/>
          <w:sz w:val="32"/>
          <w:szCs w:val="32"/>
        </w:rPr>
        <w:t xml:space="preserve">10. Conclusion</w:t>
      </w:r>
    </w:p>
    <w:p>
      <w:pPr>
        <w:spacing w:after="160"/>
      </w:pPr>
      <w:r>
        <w:rPr>
          <w:rFonts w:ascii="Arial" w:cs="Arial" w:eastAsia="Arial" w:hAnsi="Arial"/>
          <w:sz w:val="22"/>
          <w:szCs w:val="22"/>
        </w:rPr>
        <w:t xml:space="preserve">BREM’s empirical methodology is the foundation. The 9-cell matrix with its branching decision logic is a proven type system. The sm diagnostic variable is a genuine discovery — zero failure rate for sm ≤ 2 across 83 projects. The asymmetric weights and domain ceiling rule push F1 to 0.929.</w:t>
      </w:r>
    </w:p>
    <w:p>
      <w:pPr>
        <w:spacing w:after="160"/>
      </w:pPr>
      <w:r>
        <w:rPr>
          <w:rFonts w:ascii="Arial" w:cs="Arial" w:eastAsia="Arial" w:hAnsi="Arial"/>
          <w:sz w:val="22"/>
          <w:szCs w:val="22"/>
        </w:rPr>
        <w:t xml:space="preserve">The compiler architecture does not replace any of this. It wraps it in infrastructure that makes it persistent, trackable, prescriptive, and self-improving. Accumulated state means assessments evolve. Delta tracking means changes are auditable. Typed mitigations mean recommendations are actionable. PGO means the model gets better with every resolved outcome.</w:t>
      </w:r>
    </w:p>
    <w:p>
      <w:pPr>
        <w:spacing w:after="160"/>
      </w:pPr>
      <w:r>
        <w:rPr>
          <w:rFonts w:ascii="Arial" w:cs="Arial" w:eastAsia="Arial" w:hAnsi="Arial"/>
          <w:sz w:val="22"/>
          <w:szCs w:val="22"/>
        </w:rPr>
        <w:t xml:space="preserve">The result is a system that does not just tell you your project is risky — it tells you exactly which cells to fix, in what order, with what evidence, and it verifies when you’re done.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26"/>
      </w:tabs>
    </w:pPr>
    <w:r>
      <w:rPr>
        <w:rFonts w:ascii="Arial" w:cs="Arial" w:eastAsia="Arial" w:hAnsi="Arial"/>
        <w:color w:val="999999"/>
        <w:sz w:val="18"/>
        <w:szCs w:val="18"/>
      </w:rPr>
      <w:t xml:space="preserve">BREM Semantic Compiler Migration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300"/>
      <w:outlineLvl w:val="1"/>
    </w:pPr>
    <w:rPr>
      <w:rFonts w:ascii="Arial" w:cs="Arial" w:eastAsia="Arial" w:hAnsi="Arial"/>
      <w:b/>
      <w:bCs/>
      <w:color w:val="1B4F72"/>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2026-03-22T12:29:40.582Z</dcterms:created>
  <dcterms:modified xsi:type="dcterms:W3CDTF">2026-03-22T12:29:40.594Z</dcterms:modified>
</cp:coreProperties>
</file>

<file path=docProps/custom.xml><?xml version="1.0" encoding="utf-8"?>
<Properties xmlns="http://schemas.openxmlformats.org/officeDocument/2006/custom-properties" xmlns:vt="http://schemas.openxmlformats.org/officeDocument/2006/docPropsVTypes"/>
</file>