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2A4A"/>
          <w:sz w:val="56"/>
          <w:szCs w:val="56"/>
        </w:rPr>
        <w:t xml:space="preserve">Scripted Supply</w:t>
      </w:r>
    </w:p>
    <w:p>
      <w:pPr>
        <w:spacing w:after="120"/>
        <w:jc w:val="center"/>
      </w:pPr>
      <w:r>
        <w:rPr>
          <w:rFonts w:ascii="Arial" w:cs="Arial" w:eastAsia="Arial" w:hAnsi="Arial"/>
          <w:color w:val="4A6FA5"/>
          <w:sz w:val="32"/>
          <w:szCs w:val="32"/>
        </w:rPr>
        <w:t xml:space="preserve">A Three-Tier Architecture for Deterministic Commerce</w:t>
      </w:r>
    </w:p>
    <w:p>
      <w:pPr>
        <w:spacing w:after="600"/>
        <w:jc w:val="center"/>
      </w:pPr>
      <w:r>
        <w:rPr>
          <w:rFonts w:ascii="Arial" w:cs="Arial" w:eastAsia="Arial" w:hAnsi="Arial"/>
          <w:i/>
          <w:iCs/>
          <w:color w:val="666666"/>
          <w:sz w:val="26"/>
          <w:szCs w:val="26"/>
        </w:rPr>
        <w:t xml:space="preserve">From Semantic Objects to On-Chain Settlement</w:t>
      </w:r>
    </w:p>
    <w:p>
      <w:pPr>
        <w:spacing w:after="60"/>
        <w:jc w:val="center"/>
      </w:pPr>
      <w:r>
        <w:rPr>
          <w:rFonts w:ascii="Arial" w:cs="Arial" w:eastAsia="Arial" w:hAnsi="Arial"/>
          <w:color w:val="888888"/>
          <w:sz w:val="22"/>
          <w:szCs w:val="22"/>
        </w:rPr>
        <w:t xml:space="preserve">Version 0.1-draft  •  March 2026</w:t>
      </w:r>
    </w:p>
    <w:p>
      <w:pPr>
        <w:spacing w:after="60"/>
        <w:jc w:val="center"/>
      </w:pPr>
      <w:r>
        <w:rPr>
          <w:rFonts w:ascii="Arial" w:cs="Arial" w:eastAsia="Arial" w:hAnsi="Arial"/>
          <w:color w:val="888888"/>
          <w:sz w:val="20"/>
          <w:szCs w:val="20"/>
        </w:rPr>
        <w:t xml:space="preserve">Companion to: Universal Commerce Taxonomy Spec, Compiler-to-Semantos Bridge Spec</w:t>
      </w:r>
    </w:p>
    <w:p>
      <w:pPr>
        <w:spacing w:after="2000"/>
        <w:jc w:val="center"/>
      </w:pPr>
      <w:r>
        <w:rPr>
          <w:rFonts w:ascii="Arial" w:cs="Arial" w:eastAsia="Arial" w:hAnsi="Arial"/>
          <w:sz w:val="22"/>
          <w:szCs w:val="22"/>
        </w:rPr>
        <w:t xml:space="preserve">Todd Price  •  OddJobTodd / Semantos Project</w:t>
      </w:r>
    </w:p>
    <w:p>
      <w:r>
        <w:br w:type="page"/>
      </w:r>
    </w:p>
    <w:p>
      <w:pPr>
        <w:pStyle w:val="Heading1"/>
        <w:spacing w:after="150" w:before="300"/>
      </w:pPr>
      <w:r>
        <w:rPr>
          <w:rFonts w:ascii="Arial" w:cs="Arial" w:eastAsia="Arial" w:hAnsi="Arial"/>
          <w:b/>
          <w:bCs/>
        </w:rPr>
        <w:t xml:space="preserve">1. Thesis</w:t>
      </w:r>
    </w:p>
    <w:p>
      <w:pPr>
        <w:spacing w:after="120"/>
      </w:pPr>
      <w:r>
        <w:rPr>
          <w:rFonts w:ascii="Arial" w:cs="Arial" w:eastAsia="Arial" w:hAnsi="Arial"/>
          <w:sz w:val="22"/>
          <w:szCs w:val="22"/>
        </w:rPr>
        <w:t xml:space="preserve">Every commercial interaction is a state transition. Not a message, not a declaration, not a record—a transition. A customer hires a plumber. That is not a purchase order followed by an invoice followed by a payment followed by a receipt. It is a single, continuous state machine: intention → agreement → execution → settlement. Each step is provable, irreversible, and bound to cryptographic identity and time.</w:t>
      </w:r>
    </w:p>
    <w:p>
      <w:pPr>
        <w:spacing w:after="120"/>
      </w:pPr>
      <w:r>
        <w:rPr>
          <w:rFonts w:ascii="Arial" w:cs="Arial" w:eastAsia="Arial" w:hAnsi="Arial"/>
          <w:sz w:val="22"/>
          <w:szCs w:val="22"/>
        </w:rPr>
        <w:t xml:space="preserve">Legacy electronic commerce (EDI, cloud APIs, SaaS platforms) encodes the surface form of intention but not its binding. It transmits well-formed messages about events that may or may not have occurred. It separates payment from proof. It relies on trust, institutions, duplicated accounting, and human oversight. It fails not when it transmits incorrect information, but when it successfully transmits well-formed lies.</w:t>
      </w:r>
    </w:p>
    <w:p>
      <w:pPr>
        <w:spacing w:after="120"/>
      </w:pPr>
      <w:r>
        <w:rPr>
          <w:rFonts w:ascii="Arial" w:cs="Arial" w:eastAsia="Arial" w:hAnsi="Arial"/>
          <w:sz w:val="22"/>
          <w:szCs w:val="22"/>
        </w:rPr>
        <w:t xml:space="preserve">This document specifies a three-tier architecture that replaces message-based commerce with state-based commerce. The system encodes state transitions—not declarations of intent. Each transition is deterministic, provable, and atomic. Payment and commercial fact are fused in a single construct. The architecture has been partially implemented and proven through the Trades vertical (OddJobTodd), which serves as the first production proof-of-concept.</w:t>
      </w:r>
    </w:p>
    <w:p>
      <w:pPr>
        <w:pStyle w:val="Heading2"/>
        <w:spacing w:after="150" w:before="300"/>
      </w:pPr>
      <w:r>
        <w:rPr>
          <w:rFonts w:ascii="Arial" w:cs="Arial" w:eastAsia="Arial" w:hAnsi="Arial"/>
          <w:b/>
          <w:bCs/>
        </w:rPr>
        <w:t xml:space="preserve">1.1 The Core Insight</w:t>
      </w:r>
    </w:p>
    <w:p>
      <w:pPr>
        <w:spacing w:after="120"/>
      </w:pPr>
      <w:r>
        <w:rPr>
          <w:rFonts w:ascii="Arial" w:cs="Arial" w:eastAsia="Arial" w:hAnsi="Arial"/>
          <w:sz w:val="22"/>
          <w:szCs w:val="22"/>
        </w:rPr>
        <w:t xml:space="preserve">Three primitives compose every commercial event: WHAT is being transacted (the domain), HOW it is being transacted (the transaction shape), and the INSTRUMENT produced (the commercial document). These three dimensions are orthogonal and compose independently. A plumbing service can be hired on fixed price or metered hourly. The WHAT does not determine the HOW. The combination of WHAT + HOW determines the INSTRUMENT.</w:t>
      </w:r>
    </w:p>
    <w:p>
      <w:pPr>
        <w:spacing w:after="120"/>
      </w:pPr>
      <w:r>
        <w:rPr>
          <w:rFonts w:ascii="Arial" w:cs="Arial" w:eastAsia="Arial" w:hAnsi="Arial"/>
          <w:sz w:val="22"/>
          <w:szCs w:val="22"/>
        </w:rPr>
        <w:t xml:space="preserve">This triple—(WHAT, HOW, INSTRUMENT)—produces a deterministic type hash: SHA256 of the concatenated paths. This hash is the bridge between the TypeScript runtime, the Forth specification layer, and the BSV on-chain anchoring. It is computed identically in all three tiers. It is the locking script of commerce.</w:t>
      </w:r>
    </w:p>
    <w:p>
      <w:pPr>
        <w:pStyle w:val="Heading2"/>
        <w:spacing w:after="150" w:before="300"/>
      </w:pPr>
      <w:r>
        <w:rPr>
          <w:rFonts w:ascii="Arial" w:cs="Arial" w:eastAsia="Arial" w:hAnsi="Arial"/>
          <w:b/>
          <w:bCs/>
        </w:rPr>
        <w:t xml:space="preserve">1.2 The Problem This Solves</w:t>
      </w:r>
    </w:p>
    <w:p>
      <w:pPr>
        <w:spacing w:after="120"/>
      </w:pPr>
      <w:r>
        <w:rPr>
          <w:rFonts w:ascii="Arial" w:cs="Arial" w:eastAsia="Arial" w:hAnsi="Arial"/>
          <w:sz w:val="22"/>
          <w:szCs w:val="22"/>
        </w:rPr>
        <w:t xml:space="preserve">In Wright’s formulation: let M be the set of syntactically well-formed commercial messages and T be the subset that correspond to truthful, executed events. No algorithm within the confines of EDI can decide membership in T. The mapping from message to reality is extra-formal. Commerce has been built on correspondence, not computation. This architecture makes T decidable by construction: every claimed fact φ must be committed as a transaction t such that t ⊢ φ and t is publicly visible in an immutable ledger.</w:t>
      </w:r>
    </w:p>
    <w:p>
      <w:r>
        <w:br w:type="page"/>
      </w:r>
    </w:p>
    <w:p>
      <w:pPr>
        <w:pStyle w:val="Heading1"/>
        <w:spacing w:after="150" w:before="300"/>
      </w:pPr>
      <w:r>
        <w:rPr>
          <w:rFonts w:ascii="Arial" w:cs="Arial" w:eastAsia="Arial" w:hAnsi="Arial"/>
          <w:b/>
          <w:bCs/>
        </w:rPr>
        <w:t xml:space="preserve">2. Architecture Overview</w:t>
      </w:r>
    </w:p>
    <w:p>
      <w:pPr>
        <w:spacing w:after="120"/>
      </w:pPr>
      <w:r>
        <w:rPr>
          <w:rFonts w:ascii="Arial" w:cs="Arial" w:eastAsia="Arial" w:hAnsi="Arial"/>
          <w:sz w:val="22"/>
          <w:szCs w:val="22"/>
        </w:rPr>
        <w:t xml:space="preserve">The system consists of three tiers. Each tier serves a distinct purpose, operates at a different timescale, and is implemented in a different language. But all three share a single data structure: the 1KB semantic cell (256-byte header + 768-byte payload), and a single type system: the SHA256 type hash derived from the (WHAT, HOW, INSTRUMENT) triple.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700"/>
        <w:gridCol w:w="16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Language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Store</w:t>
            </w:r>
          </w:p>
        </w:tc>
        <w:tc>
          <w:tcPr>
            <w:tcW w:type="dxa" w:w="1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Timescale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 Specification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Forth (GForth)</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Formal cell model, linearity enforcement, 2-PDA stack</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In-memory heap</w:t>
            </w:r>
          </w:p>
        </w:tc>
        <w:tc>
          <w:tcPr>
            <w:tcW w:type="dxa" w:w="1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Compile-time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 Runtime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TypeScript (Bun/Node)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Operational state machine, dual-write, scoring, AI pipeline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PostgreSQL (Neon)</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Real-time (ms)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 Anchoring</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TypeScript + BSV SDK</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On-chain proof, UTXO binding, settlement finality</w:t>
            </w:r>
          </w:p>
        </w:tc>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BSV Blockchain</w:t>
            </w:r>
          </w:p>
        </w:tc>
        <w:tc>
          <w:tcPr>
            <w:tcW w:type="dxa" w:w="1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Block-time (s–min)</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Data flows downward: Tier 1 defines the cell format. Tier 2 packs cells to that format and stores them in Postgres for fast operational queries. Tier 3 takes packed cells from Tier 2 and inscribes them as BSV ordinals. Proof flows upward: a mined transaction in Tier 3 proves that the state transition in Tier 2 occurred, under the formal constraints defined in Tier 1.</w:t>
      </w:r>
    </w:p>
    <w:p>
      <w:r>
        <w:br w:type="page"/>
      </w:r>
    </w:p>
    <w:p>
      <w:pPr>
        <w:pStyle w:val="Heading1"/>
        <w:spacing w:after="150" w:before="300"/>
      </w:pPr>
      <w:r>
        <w:rPr>
          <w:rFonts w:ascii="Arial" w:cs="Arial" w:eastAsia="Arial" w:hAnsi="Arial"/>
          <w:b/>
          <w:bCs/>
        </w:rPr>
        <w:t xml:space="preserve">3. Tier 1: Specification Layer (Forth)</w:t>
      </w:r>
    </w:p>
    <w:p>
      <w:pPr>
        <w:spacing w:after="120"/>
      </w:pPr>
      <w:r>
        <w:rPr>
          <w:rFonts w:ascii="Arial" w:cs="Arial" w:eastAsia="Arial" w:hAnsi="Arial"/>
          <w:sz w:val="22"/>
          <w:szCs w:val="22"/>
        </w:rPr>
        <w:t xml:space="preserve">The Forth layer is the canonical specification. It defines the cell layout, linearity types, memory model, and validation rules. It is implemented in GForth and lives in the semantos repository at bitcoin-script/core/semantic-objects.fs.</w:t>
      </w:r>
    </w:p>
    <w:p>
      <w:pPr>
        <w:pStyle w:val="Heading2"/>
        <w:spacing w:after="150" w:before="300"/>
      </w:pPr>
      <w:r>
        <w:rPr>
          <w:rFonts w:ascii="Arial" w:cs="Arial" w:eastAsia="Arial" w:hAnsi="Arial"/>
          <w:b/>
          <w:bCs/>
        </w:rPr>
        <w:t xml:space="preserve">3.1 Cell Layout</w:t>
      </w:r>
    </w:p>
    <w:p>
      <w:pPr>
        <w:spacing w:after="120"/>
      </w:pPr>
      <w:r>
        <w:rPr>
          <w:rFonts w:ascii="Arial" w:cs="Arial" w:eastAsia="Arial" w:hAnsi="Arial"/>
          <w:sz w:val="22"/>
          <w:szCs w:val="22"/>
        </w:rPr>
        <w:t xml:space="preserve">Every semantic object occupies one or more 1024-byte cells. The first cell contains a 256-byte header and a 768-byte payload. Multi-cell objects use the CELL-COUNT header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Offset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MAGIC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 bytes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 magic words: DEADBEEF CAFEBABE 13371337 42424242</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LINEARITY</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4 bytes</w:t>
            </w:r>
          </w:p>
        </w:tc>
        <w:tc>
          <w:tcPr>
            <w:tcW w:type="dxa" w:w="4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1=LINEAR, 2=AFFINE, 3=RELEVANT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VERSION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 bytes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Object version, increments on mutation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FLAGS</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24</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4 bytes</w:t>
            </w:r>
          </w:p>
        </w:tc>
        <w:tc>
          <w:tcPr>
            <w:tcW w:type="dxa" w:w="4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Bit flags (bit 0 = consumed)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REF-COUNT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 bytes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Reference count for RELEVANT objects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TYPE-HASH</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32 bytes</w:t>
            </w:r>
          </w:p>
        </w:tc>
        <w:tc>
          <w:tcPr>
            <w:tcW w:type="dxa" w:w="4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SHA256(WHAT:HOW:INSTRUMENT)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OWNER-ID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 bytes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Owner public key hash (first 16 bytes)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TIMESTAMP</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78</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8 bytes</w:t>
            </w:r>
          </w:p>
        </w:tc>
        <w:tc>
          <w:tcPr>
            <w:tcW w:type="dxa" w:w="4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Creation/mutation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CELL-COUNT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 bytes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Number of cells (1 for most objects)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TOTAL-SIZE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90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4 bytes</w:t>
            </w:r>
          </w:p>
        </w:tc>
        <w:tc>
          <w:tcPr>
            <w:tcW w:type="dxa" w:w="4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Actual data size in payload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RESERVED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162 bytes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Reserved for future use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PAYLOAD</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256</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768 bytes</w:t>
            </w:r>
          </w:p>
        </w:tc>
        <w:tc>
          <w:tcPr>
            <w:tcW w:type="dxa" w:w="4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Application data (TLV-packed or JSON)</w:t>
            </w:r>
          </w:p>
        </w:tc>
      </w:tr>
    </w:tbl>
    <w:p>
      <w:pPr>
        <w:spacing w:after="120"/>
      </w:pPr>
      <w:r>
        <w:rPr>
          <w:rFonts w:ascii="Arial" w:cs="Arial" w:eastAsia="Arial" w:hAnsi="Arial"/>
          <w:sz w:val="22"/>
          <w:szCs w:val="22"/>
        </w:rPr>
        <w:t xml:space="preserve"/>
      </w:r>
    </w:p>
    <w:p>
      <w:pPr>
        <w:pStyle w:val="Heading2"/>
        <w:spacing w:after="150" w:before="300"/>
      </w:pPr>
      <w:r>
        <w:rPr>
          <w:rFonts w:ascii="Arial" w:cs="Arial" w:eastAsia="Arial" w:hAnsi="Arial"/>
          <w:b/>
          <w:bCs/>
        </w:rPr>
        <w:t xml:space="preserve">3.2 Linearity Types</w:t>
      </w:r>
    </w:p>
    <w:p>
      <w:pPr>
        <w:spacing w:after="120"/>
      </w:pPr>
      <w:r>
        <w:rPr>
          <w:rFonts w:ascii="Arial" w:cs="Arial" w:eastAsia="Arial" w:hAnsi="Arial"/>
          <w:sz w:val="22"/>
          <w:szCs w:val="22"/>
        </w:rPr>
        <w:t xml:space="preserve">Linearity is the foundational constraint of the semantic object model. It determines what operations are permitted on an object and maps directly to both substructural type theory and Bitcoin’s UTXO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Rule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Commerce Analogy</w:t>
            </w:r>
          </w:p>
        </w:tc>
        <w:tc>
          <w:tcPr>
            <w:tcW w:type="dxa" w:w="3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LINEAR (1)</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Must be used exactly once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Spend-once value: money, signed contracts</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Payment, accepted quote, pickup token, signed agreement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AFFINE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Used at most once (can be discarded)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Lifecycle object: exists, transitions, terminates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Job state (AccumulatedJobState), order, session</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RELEVANT (3)</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Can be copied freely (must be used at least once)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Reference data: prices, terms, public info</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Taxonomy node, price list, trade category, ROM quote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maps exactly to Wright’s model: a UTXO is LINEAR (spend once). An authorisation is AFFINE (use or cancel). A public key is RELEVANT (reference freely). The Forth layer enforces these constraints at the stack level: attempting to duplicate a LINEAR object causes SEMANTIC-FAILURE. Attempting to discard a LINEAR object without consuming it causes SEMANTIC-FAILURE. The Postgres layer mirrors this in application logic. The BSV layer enforces it through Script conditions and UTXO singularity.</w:t>
      </w:r>
    </w:p>
    <w:p>
      <w:pPr>
        <w:pStyle w:val="Heading2"/>
        <w:spacing w:after="150" w:before="300"/>
      </w:pPr>
      <w:r>
        <w:rPr>
          <w:rFonts w:ascii="Arial" w:cs="Arial" w:eastAsia="Arial" w:hAnsi="Arial"/>
          <w:b/>
          <w:bCs/>
        </w:rPr>
        <w:t xml:space="preserve">3.3 2-PDA Stack Integration</w:t>
      </w:r>
    </w:p>
    <w:p>
      <w:pPr>
        <w:spacing w:after="120"/>
      </w:pPr>
      <w:r>
        <w:rPr>
          <w:rFonts w:ascii="Arial" w:cs="Arial" w:eastAsia="Arial" w:hAnsi="Arial"/>
          <w:sz w:val="22"/>
          <w:szCs w:val="22"/>
        </w:rPr>
        <w:t xml:space="preserve">The Forth specification implements a two-stack pushdown automaton (2-PDA) following Wright’s model. The main stack holds semantic objects. The alt stack provides temporary storage for script evaluation. This is not just a Forth convenience—it mirrors the Bitcoin Script execution model exactly: mainStack and altStack, with OP_TOALTSTACK and OP_FROMALTSTACK as the transfer operations.</w:t>
      </w:r>
    </w:p>
    <w:p>
      <w:r>
        <w:br w:type="page"/>
      </w:r>
    </w:p>
    <w:p>
      <w:pPr>
        <w:pStyle w:val="Heading1"/>
        <w:spacing w:after="150" w:before="300"/>
      </w:pPr>
      <w:r>
        <w:rPr>
          <w:rFonts w:ascii="Arial" w:cs="Arial" w:eastAsia="Arial" w:hAnsi="Arial"/>
          <w:b/>
          <w:bCs/>
        </w:rPr>
        <w:t xml:space="preserve">4. Tier 2: Runtime Layer (TypeScript / PostgreSQL)</w:t>
      </w:r>
    </w:p>
    <w:p>
      <w:pPr>
        <w:spacing w:after="120"/>
      </w:pPr>
      <w:r>
        <w:rPr>
          <w:rFonts w:ascii="Arial" w:cs="Arial" w:eastAsia="Arial" w:hAnsi="Arial"/>
          <w:sz w:val="22"/>
          <w:szCs w:val="22"/>
        </w:rPr>
        <w:t xml:space="preserve">The runtime layer is the operational heart. It handles real-time state transitions, AI-driven extraction, scoring, and dual-write to the universal semantic schema. It runs on Vercel (serverless) with Neon PostgreSQL as the backing store. The Trades vertical (OddJobTodd) is the first production deployment.</w:t>
      </w:r>
    </w:p>
    <w:p>
      <w:pPr>
        <w:pStyle w:val="Heading2"/>
        <w:spacing w:after="150" w:before="300"/>
      </w:pPr>
      <w:r>
        <w:rPr>
          <w:rFonts w:ascii="Arial" w:cs="Arial" w:eastAsia="Arial" w:hAnsi="Arial"/>
          <w:b/>
          <w:bCs/>
        </w:rPr>
        <w:t xml:space="preserve">4.1 Universal Semantic Schema</w:t>
      </w:r>
    </w:p>
    <w:p>
      <w:pPr>
        <w:spacing w:after="120"/>
      </w:pPr>
      <w:r>
        <w:rPr>
          <w:rFonts w:ascii="Arial" w:cs="Arial" w:eastAsia="Arial" w:hAnsi="Arial"/>
          <w:sz w:val="22"/>
          <w:szCs w:val="22"/>
        </w:rPr>
        <w:t xml:space="preserve">The schema is defined in Drizzle ORM and deployed to Neon. It consists of three layers: semantic core (universal, vertical-agnostic), vertical grammar (taxonomy and classifications), and vertical projections (trades-specific convenience views). All table names are prefixed with sem_ to coexist with the existing application schema.</w:t>
      </w:r>
    </w:p>
    <w:p>
      <w:pPr>
        <w:pStyle w:val="Heading3"/>
        <w:spacing w:after="150" w:before="300"/>
      </w:pPr>
      <w:r>
        <w:rPr>
          <w:rFonts w:ascii="Arial" w:cs="Arial" w:eastAsia="Arial" w:hAnsi="Arial"/>
          <w:b/>
          <w:bCs/>
        </w:rPr>
        <w:t xml:space="preserve">Core Tables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sem_objects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Root entity. One row per semantic object (job, instrument, binding). Contains verticalId, compilerVersion, irVersion, linearity, status.</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sem_object_states</w:t>
            </w:r>
          </w:p>
        </w:tc>
        <w:tc>
          <w:tcPr>
            <w:tcW w:type="dxa" w:w="6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Immutable snapshots. Each state is a hash-chained version of the object. stateHash = SHA256(prevHash + payload). This is the state chain.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sem_object_patches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Deltas between states. Each patch is a LINEAR cell—consumed once when applied. Tracks patchKind: extraction, merge, state_transition, manual_override.</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sem_object_bindings</w:t>
            </w:r>
          </w:p>
        </w:tc>
        <w:tc>
          <w:tcPr>
            <w:tcW w:type="dxa" w:w="6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Links between objects (job → instrument, job → customer). Typed edges in the semantic graph.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sem_object_edges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Directed relationships with weight and metadata. The graph layer.</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sem_object_scores</w:t>
            </w:r>
          </w:p>
        </w:tc>
        <w:tc>
          <w:tcPr>
            <w:tcW w:type="dxa" w:w="6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Scored dimensions per object version. trades-fit, trades-worthiness, trades-completeness, etc.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sem_policies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Governance rules. What transitions are permitted, what scores are required, what thresholds trigger instruments.</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sem_instruments</w:t>
            </w:r>
          </w:p>
        </w:tc>
        <w:tc>
          <w:tcPr>
            <w:tcW w:type="dxa" w:w="6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Commercial documents (quotes, contracts, invoices). Each is a RELEVANT capsule—can be referenced by multiple objects.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sem_outcomes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Terminal states. Decision (accepted/rejected/expired) + result (completed/disputed/cancelled).</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sem_evidence_items</w:t>
            </w:r>
          </w:p>
        </w:tc>
        <w:tc>
          <w:tcPr>
            <w:tcW w:type="dxa" w:w="6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Raw inputs. Customer messages, AI replies, photos. Each is a RELEVANT reference.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sem_semantic_cells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Packed 1KB cells. The bridge to Tier 3—each row is a cell ready for on-chain inscription.</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sem_taxonomies</w:t>
            </w:r>
          </w:p>
        </w:tc>
        <w:tc>
          <w:tcPr>
            <w:tcW w:type="dxa" w:w="6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Universal commerce taxonomy nodes. WHAT/HOW/INSTRUMENT paths with attributes and keywords.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sem_classifications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Maps objects to taxonomy nodes. An object can have multiple classifications (WHAT + HOW + INSTRUMENT).</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sem_diagnostic_events</w:t>
            </w:r>
          </w:p>
        </w:tc>
        <w:tc>
          <w:tcPr>
            <w:tcW w:type="dxa" w:w="6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Audit log. Every adapter call, every error, every timing measurement.</w:t>
            </w:r>
          </w:p>
        </w:tc>
      </w:tr>
    </w:tbl>
    <w:p>
      <w:pPr>
        <w:spacing w:after="120"/>
      </w:pPr>
      <w:r>
        <w:rPr>
          <w:rFonts w:ascii="Arial" w:cs="Arial" w:eastAsia="Arial" w:hAnsi="Arial"/>
          <w:sz w:val="22"/>
          <w:szCs w:val="22"/>
        </w:rPr>
        <w:t xml:space="preserve"/>
      </w:r>
    </w:p>
    <w:p>
      <w:pPr>
        <w:pStyle w:val="Heading3"/>
        <w:spacing w:after="150" w:before="300"/>
      </w:pPr>
      <w:r>
        <w:rPr>
          <w:rFonts w:ascii="Arial" w:cs="Arial" w:eastAsia="Arial" w:hAnsi="Arial"/>
          <w:b/>
          <w:bCs/>
        </w:rPr>
        <w:t xml:space="preserve">Trades Vertical Projections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sem_trades_jobs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Trades-specific job projection. Links to sem_objects via semanticObjectId. Contains legacyJobId for dual-write migration, jobType, tradeCategory.</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sem_trades_customers</w:t>
            </w:r>
          </w:p>
        </w:tc>
        <w:tc>
          <w:tcPr>
            <w:tcW w:type="dxa" w:w="6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Customer projection. Contact info, location, communication preferences.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sem_trades_sites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Physical site data. Address, access notes, photos, GPS coordinates.</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sem_trades_visits</w:t>
            </w:r>
          </w:p>
        </w:tc>
        <w:tc>
          <w:tcPr>
            <w:tcW w:type="dxa" w:w="6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Scheduled and completed site visits. Links job → site → time window.</w:t>
            </w:r>
          </w:p>
        </w:tc>
      </w:tr>
    </w:tbl>
    <w:p>
      <w:pPr>
        <w:spacing w:after="120"/>
      </w:pPr>
      <w:r>
        <w:rPr>
          <w:rFonts w:ascii="Arial" w:cs="Arial" w:eastAsia="Arial" w:hAnsi="Arial"/>
          <w:sz w:val="22"/>
          <w:szCs w:val="22"/>
        </w:rPr>
        <w:t xml:space="preserve"/>
      </w:r>
    </w:p>
    <w:p>
      <w:pPr>
        <w:pStyle w:val="Heading2"/>
        <w:spacing w:after="150" w:before="300"/>
      </w:pPr>
      <w:r>
        <w:rPr>
          <w:rFonts w:ascii="Arial" w:cs="Arial" w:eastAsia="Arial" w:hAnsi="Arial"/>
          <w:b/>
          <w:bCs/>
        </w:rPr>
        <w:t xml:space="preserve">4.2 The Semantic Runtime Adapter</w:t>
      </w:r>
    </w:p>
    <w:p>
      <w:pPr>
        <w:spacing w:after="120"/>
      </w:pPr>
      <w:r>
        <w:rPr>
          <w:rFonts w:ascii="Arial" w:cs="Arial" w:eastAsia="Arial" w:hAnsi="Arial"/>
          <w:sz w:val="22"/>
          <w:szCs w:val="22"/>
        </w:rPr>
        <w:t xml:space="preserve">The adapter is a fire-and-forget dual-write bridge. It sits alongside the existing application pipeline and writes to the sem_* tables without blocking the primary flow. Every function is wrapped in try/catch with console.warn—the semantic layer can fail without breaking the chat pipeline.</w:t>
      </w:r>
    </w:p>
    <w:p>
      <w:pPr>
        <w:spacing w:after="120"/>
      </w:pPr>
      <w:r>
        <w:rPr>
          <w:rFonts w:ascii="Arial" w:cs="Arial" w:eastAsia="Arial" w:hAnsi="Arial"/>
          <w:sz w:val="22"/>
          <w:szCs w:val="22"/>
        </w:rPr>
        <w:t xml:space="preserve">Six adapter functions, each called at a specific pipeline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Pipeline Stage</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Semantic 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ensureSemanticObject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Job load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Creates SemanticObject + trades projection if not exists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recordEvidence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Message received / AI reply</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Creates EvidenceItem (RELEVANT 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recordStateSnapshot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After merge + scoring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Creates ObjectState (hash-chained) + ObjectPatch (LINEAR delta)</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recordScores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After scoring</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Creates ObjectScore entries for trades-fit, worthiness, completeness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recordStatusTransition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 change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Creates ObjectPatch with patchKind=state_transition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8"/>
                <w:szCs w:val="18"/>
              </w:rPr>
              <w:t xml:space="preserve">recordInstrument</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Estimate presented</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Creates Instrument (RELEVANT capsule) for ROM quote</w:t>
            </w:r>
          </w:p>
        </w:tc>
      </w:tr>
    </w:tbl>
    <w:p>
      <w:pPr>
        <w:spacing w:after="120"/>
      </w:pPr>
      <w:r>
        <w:rPr>
          <w:rFonts w:ascii="Arial" w:cs="Arial" w:eastAsia="Arial" w:hAnsi="Arial"/>
          <w:sz w:val="22"/>
          <w:szCs w:val="22"/>
        </w:rPr>
        <w:t xml:space="preserve"/>
      </w:r>
    </w:p>
    <w:p>
      <w:pPr>
        <w:pStyle w:val="Heading2"/>
        <w:spacing w:after="150" w:before="300"/>
      </w:pPr>
      <w:r>
        <w:rPr>
          <w:rFonts w:ascii="Arial" w:cs="Arial" w:eastAsia="Arial" w:hAnsi="Arial"/>
          <w:b/>
          <w:bCs/>
        </w:rPr>
        <w:t xml:space="preserve">4.3 Type Hash Registry</w:t>
      </w:r>
    </w:p>
    <w:p>
      <w:pPr>
        <w:spacing w:after="120"/>
      </w:pPr>
      <w:r>
        <w:rPr>
          <w:rFonts w:ascii="Arial" w:cs="Arial" w:eastAsia="Arial" w:hAnsi="Arial"/>
          <w:sz w:val="22"/>
          <w:szCs w:val="22"/>
        </w:rPr>
        <w:t xml:space="preserve">The type hash registry (typeHashRegistry.ts) is the bridge between the TypeScript type system and the Forth cell format. It computes SHA256 type hashes, builds cell headers, and packs/unpacks 1KB cells. The registry ensures that a cell packed in TypeScript is byte-identical to one packed in Forth.</w:t>
      </w:r>
    </w:p>
    <w:p>
      <w:pPr>
        <w:spacing w:after="120"/>
      </w:pPr>
      <w:r>
        <w:rPr>
          <w:rFonts w:ascii="Arial" w:cs="Arial" w:eastAsia="Arial" w:hAnsi="Arial"/>
          <w:sz w:val="22"/>
          <w:szCs w:val="22"/>
        </w:rPr>
        <w:t xml:space="preserve">Key functions: computeTypeHash(what, how, instrument) produces the 32-byte SHA256. buildCellHeader(linearity, typeHash, version) produces the 256-byte header. packCell(header, payload) produces the 1024-byte cell. unpackCell(bytes) decomposes it back. isValidCell(bytes) checks magic numbers.</w:t>
      </w:r>
    </w:p>
    <w:p>
      <w:pPr>
        <w:pStyle w:val="Heading2"/>
        <w:spacing w:after="150" w:before="300"/>
      </w:pPr>
      <w:r>
        <w:rPr>
          <w:rFonts w:ascii="Arial" w:cs="Arial" w:eastAsia="Arial" w:hAnsi="Arial"/>
          <w:b/>
          <w:bCs/>
        </w:rPr>
        <w:t xml:space="preserve">4.4 The State Hash Chain</w:t>
      </w:r>
    </w:p>
    <w:p>
      <w:pPr>
        <w:spacing w:after="120"/>
      </w:pPr>
      <w:r>
        <w:rPr>
          <w:rFonts w:ascii="Arial" w:cs="Arial" w:eastAsia="Arial" w:hAnsi="Arial"/>
          <w:sz w:val="22"/>
          <w:szCs w:val="22"/>
        </w:rPr>
        <w:t xml:space="preserve">This is the deterministic transition function Wright demands. Each ObjectState has a stateHash computed as SHA256(prevStateHash + JSON.stringify(state)). The chain is append-only and hash-linked. Given any state in the chain, you can verify the entire history back to genesis. This is σₖ₊₁ = δ(σₖ, mₖ) where δ is the merge function and m is the incoming extraction.</w:t>
      </w:r>
    </w:p>
    <w:p>
      <w:pPr>
        <w:spacing w:after="120"/>
      </w:pPr>
      <w:r>
        <w:rPr>
          <w:rFonts w:ascii="Arial" w:cs="Arial" w:eastAsia="Arial" w:hAnsi="Arial"/>
          <w:sz w:val="22"/>
          <w:szCs w:val="22"/>
        </w:rPr>
        <w:t xml:space="preserve">The MergeResult type captures each transition: { state, prevStateHash, stateHash, delta, deltaCount }. The delta is the set of fields that changed. The deltaCount is the number of changed fields. Each MergeResult becomes one ObjectState row and one ObjectPatch row in the database.</w:t>
      </w:r>
    </w:p>
    <w:p>
      <w:r>
        <w:br w:type="page"/>
      </w:r>
    </w:p>
    <w:p>
      <w:pPr>
        <w:pStyle w:val="Heading1"/>
        <w:spacing w:after="150" w:before="300"/>
      </w:pPr>
      <w:r>
        <w:rPr>
          <w:rFonts w:ascii="Arial" w:cs="Arial" w:eastAsia="Arial" w:hAnsi="Arial"/>
          <w:b/>
          <w:bCs/>
        </w:rPr>
        <w:t xml:space="preserve">5. Tier 3: Anchoring Layer (BSV)</w:t>
      </w:r>
    </w:p>
    <w:p>
      <w:pPr>
        <w:spacing w:after="120"/>
      </w:pPr>
      <w:r>
        <w:rPr>
          <w:rFonts w:ascii="Arial" w:cs="Arial" w:eastAsia="Arial" w:hAnsi="Arial"/>
          <w:sz w:val="22"/>
          <w:szCs w:val="22"/>
        </w:rPr>
        <w:t xml:space="preserve">The anchoring layer takes packed semantic cells from Tier 2 and commits them to the BSV blockchain as ordinal inscriptions. Each inscription is a 1-sat output containing the cell bytes. The on-chain record is the proof—not a description of what happened, but the immutable fact that it happened.</w:t>
      </w:r>
    </w:p>
    <w:p>
      <w:pPr>
        <w:pStyle w:val="Heading2"/>
        <w:spacing w:after="150" w:before="300"/>
      </w:pPr>
      <w:r>
        <w:rPr>
          <w:rFonts w:ascii="Arial" w:cs="Arial" w:eastAsia="Arial" w:hAnsi="Arial"/>
          <w:b/>
          <w:bCs/>
        </w:rPr>
        <w:t xml:space="preserve">5.1 Existing Infrastructure</w:t>
      </w:r>
    </w:p>
    <w:p>
      <w:pPr>
        <w:spacing w:after="120"/>
      </w:pPr>
      <w:r>
        <w:rPr>
          <w:rFonts w:ascii="Arial" w:cs="Arial" w:eastAsia="Arial" w:hAnsi="Arial"/>
          <w:sz w:val="22"/>
          <w:szCs w:val="22"/>
        </w:rPr>
        <w:t xml:space="preserve">The semantic-object-tool in the semantos repository provides the BSV integration layer. It consists of three components: SemanticManager (creates semantic objects, handles the 768-byte inline vs. hybrid-storage split), TransactionBuilder (constructs BSV transactions with ordinal inscriptions and script conditions), and KeyManager (ECDH key derivation, BRC-52 certificates, BKDS hierarchical key paths).</w:t>
      </w:r>
    </w:p>
    <w:p>
      <w:pPr>
        <w:spacing w:after="120"/>
      </w:pPr>
      <w:r>
        <w:rPr>
          <w:rFonts w:ascii="Arial" w:cs="Arial" w:eastAsia="Arial" w:hAnsi="Arial"/>
          <w:sz w:val="22"/>
          <w:szCs w:val="22"/>
        </w:rPr>
        <w:t xml:space="preserve">The CLI exposes eight commands that map directly to commercial operations: /create (mint a new semantic object), /spend (consume a LINEAR object), /transfer (change ownership), /verify (check integrity), /list (enumerate by linearity type), /info (inspect), /history (trace transitions), /broadcast (commit to chain).</w:t>
      </w:r>
    </w:p>
    <w:p>
      <w:pPr>
        <w:pStyle w:val="Heading2"/>
        <w:spacing w:after="150" w:before="300"/>
      </w:pPr>
      <w:r>
        <w:rPr>
          <w:rFonts w:ascii="Arial" w:cs="Arial" w:eastAsia="Arial" w:hAnsi="Arial"/>
          <w:b/>
          <w:bCs/>
        </w:rPr>
        <w:t xml:space="preserve">5.2 Script as Transition Function</w:t>
      </w:r>
    </w:p>
    <w:p>
      <w:pPr>
        <w:spacing w:after="120"/>
      </w:pPr>
      <w:r>
        <w:rPr>
          <w:rFonts w:ascii="Arial" w:cs="Arial" w:eastAsia="Arial" w:hAnsi="Arial"/>
          <w:sz w:val="22"/>
          <w:szCs w:val="22"/>
        </w:rPr>
        <w:t xml:space="preserve">In Wright’s formulation, Bitcoin Script is the validator for δ in the tuple (Q, Σ, δ). A UTXO state s₁ transitions to s₂ if and only if Script(s₁, witness) evaluates to TRUE. In the trades vertical, this means: a quote UTXO (RELEVANT capsule) can be referenced by a contract UTXO (LINEAR binding). The contract can be spent (accepted) only if the customer’s signature satisfies the script. Once spent, it cannot be spent again. This is atomic: the payment IS the acceptance. The script IS the agreement. The block IS the proof.</w:t>
      </w:r>
    </w:p>
    <w:p>
      <w:pPr>
        <w:pStyle w:val="Heading2"/>
        <w:spacing w:after="150" w:before="300"/>
      </w:pPr>
      <w:r>
        <w:rPr>
          <w:rFonts w:ascii="Arial" w:cs="Arial" w:eastAsia="Arial" w:hAnsi="Arial"/>
          <w:b/>
          <w:bCs/>
        </w:rPr>
        <w:t xml:space="preserve">5.3 The Anchor Bridge (To Be Built)</w:t>
      </w:r>
    </w:p>
    <w:p>
      <w:pPr>
        <w:spacing w:after="120"/>
      </w:pPr>
      <w:r>
        <w:rPr>
          <w:rFonts w:ascii="Arial" w:cs="Arial" w:eastAsia="Arial" w:hAnsi="Arial"/>
          <w:sz w:val="22"/>
          <w:szCs w:val="22"/>
        </w:rPr>
        <w:t xml:space="preserve">The bridge function connects Tier 2 to Tier 3. When a job hits a milestone (quote accepted, work completed, invoice paid), the packed cell from sem_semantic_cells is passed to the SemanticManager. The cell bytes are inscribed as an ordinal. The resulting txid is written back to the sem_objects row as onChainTxid.</w:t>
      </w:r>
    </w:p>
    <w:p>
      <w:pPr>
        <w:spacing w:after="120"/>
      </w:pPr>
      <w:r>
        <w:rPr>
          <w:rFonts w:ascii="Arial" w:cs="Arial" w:eastAsia="Arial" w:hAnsi="Arial"/>
          <w:sz w:val="22"/>
          <w:szCs w:val="22"/>
        </w:rPr>
        <w:t xml:space="preserve">The bridge operates at defined anchor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Cell Type</w:t>
            </w:r>
          </w:p>
        </w:tc>
        <w:tc>
          <w:tcPr>
            <w:tcW w:type="dxa" w:w="3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Anchor Action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Job created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AFFINE container</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Inscribe genesis state as 1-sat ordinal</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Quote presented</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RELEVANT capsule</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Inscribe instrument; create spendable UTXO with price lock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Quote accepted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LINEAR binding</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Spend quote UTXO; create contract UTXO with customer sig</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Work completed</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AFFINE state transition</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Update container state; anchor completion proof</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Invoice issued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RELEVANT capsule</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Inscribe invoice; create payment-locked UTXO</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Payment received</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LINEAR settlement</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Spend invoice UTXO; atomically settle payment + proof</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is where EDI fails and Bitcoin succeeds. The payment is not a separate system with a reference number typed into a bank field. The payment IS the state transition. The invoice UTXO is spent by the payment transaction. The customer cannot pay twice (LINEAR). The tradesperson cannot claim payment without the work completion proof (Script condition). Both facts are fused in a single, mined transaction.</w:t>
      </w:r>
    </w:p>
    <w:p>
      <w:r>
        <w:br w:type="page"/>
      </w:r>
    </w:p>
    <w:p>
      <w:pPr>
        <w:pStyle w:val="Heading1"/>
        <w:spacing w:after="150" w:before="300"/>
      </w:pPr>
      <w:r>
        <w:rPr>
          <w:rFonts w:ascii="Arial" w:cs="Arial" w:eastAsia="Arial" w:hAnsi="Arial"/>
          <w:b/>
          <w:bCs/>
        </w:rPr>
        <w:t xml:space="preserve">6. First Vertical: Trades / Services</w:t>
      </w:r>
    </w:p>
    <w:p>
      <w:pPr>
        <w:spacing w:after="120"/>
      </w:pPr>
      <w:r>
        <w:rPr>
          <w:rFonts w:ascii="Arial" w:cs="Arial" w:eastAsia="Arial" w:hAnsi="Arial"/>
          <w:sz w:val="22"/>
          <w:szCs w:val="22"/>
        </w:rPr>
        <w:t xml:space="preserve">The Trades vertical (OddJobTodd) is the first production deployment of this architecture. It proves the universal system through a concrete, high-frequency commercial domain: hiring tradespeople for residential and commercial service jobs.</w:t>
      </w:r>
    </w:p>
    <w:p>
      <w:pPr>
        <w:pStyle w:val="Heading2"/>
        <w:spacing w:after="150" w:before="300"/>
      </w:pPr>
      <w:r>
        <w:rPr>
          <w:rFonts w:ascii="Arial" w:cs="Arial" w:eastAsia="Arial" w:hAnsi="Arial"/>
          <w:b/>
          <w:bCs/>
        </w:rPr>
        <w:t xml:space="preserve">6.1 Taxonomy Mapping</w:t>
      </w:r>
    </w:p>
    <w:p>
      <w:pPr>
        <w:spacing w:after="120"/>
      </w:pPr>
      <w:r>
        <w:rPr>
          <w:rFonts w:ascii="Arial" w:cs="Arial" w:eastAsia="Arial" w:hAnsi="Arial"/>
          <w:sz w:val="22"/>
          <w:szCs w:val="22"/>
        </w:rPr>
        <w:t xml:space="preserve">The trades vertical uses three taxonomy dimensions, seeded with 23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Paths</w:t>
            </w:r>
          </w:p>
        </w:tc>
        <w:tc>
          <w:tcPr>
            <w:tcW w:type="dxa" w:w="4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WHAT</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services.trades.*  (13 entries)</w:t>
            </w:r>
          </w:p>
        </w:tc>
        <w:tc>
          <w:tcPr>
            <w:tcW w:type="dxa" w:w="4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plumbing, electrical, carpentry, painting, roofing, fencing, landscaping, cleaning, pest-control, hvac, tiling, concreting, general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HOW</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tx.hire, tx.meter  (2 entries)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Fixed-price job hire, hourly/metered rate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INSTRUMENT</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inst.quote.*, inst.contract.*, inst.invoice.*  (8 entries)</w:t>
            </w:r>
          </w:p>
        </w:tc>
        <w:tc>
          <w:tcPr>
            <w:tcW w:type="dxa" w:w="4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ROM quote, fixed-price quote, service agreement, completion cert, standard invoice, progress invoice, deposit invoice, final invoice</w:t>
            </w:r>
          </w:p>
        </w:tc>
      </w:tr>
    </w:tbl>
    <w:p>
      <w:pPr>
        <w:spacing w:after="120"/>
      </w:pPr>
      <w:r>
        <w:rPr>
          <w:rFonts w:ascii="Arial" w:cs="Arial" w:eastAsia="Arial" w:hAnsi="Arial"/>
          <w:sz w:val="22"/>
          <w:szCs w:val="22"/>
        </w:rPr>
        <w:t xml:space="preserve"/>
      </w:r>
    </w:p>
    <w:p>
      <w:pPr>
        <w:pStyle w:val="Heading2"/>
        <w:spacing w:after="150" w:before="300"/>
      </w:pPr>
      <w:r>
        <w:rPr>
          <w:rFonts w:ascii="Arial" w:cs="Arial" w:eastAsia="Arial" w:hAnsi="Arial"/>
          <w:b/>
          <w:bCs/>
        </w:rPr>
        <w:t xml:space="preserve">6.2 State Machine</w:t>
      </w:r>
    </w:p>
    <w:p>
      <w:pPr>
        <w:spacing w:after="120"/>
      </w:pPr>
      <w:r>
        <w:rPr>
          <w:rFonts w:ascii="Arial" w:cs="Arial" w:eastAsia="Arial" w:hAnsi="Arial"/>
          <w:sz w:val="22"/>
          <w:szCs w:val="22"/>
        </w:rPr>
        <w:t xml:space="preserve">A trades job is an AFFINE semantic object that transitions through a defined state machine. Each transition is captured as an ObjectPatch (LINEAR delta) and a new ObjectState (hash-chained snapshot).</w:t>
      </w:r>
    </w:p>
    <w:p>
      <w:pPr>
        <w:spacing w:after="120"/>
      </w:pPr>
      <w:r>
        <w:rPr>
          <w:rFonts w:ascii="Arial" w:cs="Arial" w:eastAsia="Arial" w:hAnsi="Arial"/>
          <w:sz w:val="22"/>
          <w:szCs w:val="22"/>
        </w:rPr>
        <w:t xml:space="preserve">The state sequence: new → qualifying → quoting → quoted → accepted → scheduled → in_progress → completed → invoiced → paid. At each transition, the adapter records the state change, and at defined milestones, the anchor bridge would commit to chain.</w:t>
      </w:r>
    </w:p>
    <w:p>
      <w:pPr>
        <w:pStyle w:val="Heading2"/>
        <w:spacing w:after="150" w:before="300"/>
      </w:pPr>
      <w:r>
        <w:rPr>
          <w:rFonts w:ascii="Arial" w:cs="Arial" w:eastAsia="Arial" w:hAnsi="Arial"/>
          <w:b/>
          <w:bCs/>
        </w:rPr>
        <w:t xml:space="preserve">6.3 What Has Been Proven</w:t>
      </w:r>
    </w:p>
    <w:p>
      <w:pPr>
        <w:spacing w:after="120"/>
      </w:pPr>
      <w:r>
        <w:rPr>
          <w:rFonts w:ascii="Arial" w:cs="Arial" w:eastAsia="Arial" w:hAnsi="Arial"/>
          <w:sz w:val="22"/>
          <w:szCs w:val="22"/>
        </w:rPr>
        <w:t xml:space="preserve">The following has been implemented and verified against live Neon PostgreSQL:</w:t>
      </w:r>
    </w:p>
    <w:p>
      <w:pPr>
        <w:pStyle w:val="ListParagraph"/>
        <w:numPr>
          <w:ilvl w:val="0"/>
          <w:numId w:val="2"/>
        </w:numPr>
        <w:spacing w:after="80"/>
      </w:pPr>
      <w:r>
        <w:rPr>
          <w:rFonts w:ascii="Arial" w:cs="Arial" w:eastAsia="Arial" w:hAnsi="Arial"/>
          <w:sz w:val="22"/>
          <w:szCs w:val="22"/>
        </w:rPr>
        <w:t xml:space="preserve">18 sem_* tables deployed and operational</w:t>
      </w:r>
    </w:p>
    <w:p>
      <w:pPr>
        <w:pStyle w:val="ListParagraph"/>
        <w:numPr>
          <w:ilvl w:val="0"/>
          <w:numId w:val="2"/>
        </w:numPr>
        <w:spacing w:after="80"/>
      </w:pPr>
      <w:r>
        <w:rPr>
          <w:rFonts w:ascii="Arial" w:cs="Arial" w:eastAsia="Arial" w:hAnsi="Arial"/>
          <w:sz w:val="22"/>
          <w:szCs w:val="22"/>
        </w:rPr>
        <w:t xml:space="preserve">23 taxonomy entries seeded (trades WHAT/HOW/INSTRUMENT)</w:t>
      </w:r>
    </w:p>
    <w:p>
      <w:pPr>
        <w:pStyle w:val="ListParagraph"/>
        <w:numPr>
          <w:ilvl w:val="0"/>
          <w:numId w:val="2"/>
        </w:numPr>
        <w:spacing w:after="80"/>
      </w:pPr>
      <w:r>
        <w:rPr>
          <w:rFonts w:ascii="Arial" w:cs="Arial" w:eastAsia="Arial" w:hAnsi="Arial"/>
          <w:sz w:val="22"/>
          <w:szCs w:val="22"/>
        </w:rPr>
        <w:t xml:space="preserve">Dual-write adapter wired into production chat pipeline (6 functions, all pipeline stages)</w:t>
      </w:r>
    </w:p>
    <w:p>
      <w:pPr>
        <w:pStyle w:val="ListParagraph"/>
        <w:numPr>
          <w:ilvl w:val="0"/>
          <w:numId w:val="2"/>
        </w:numPr>
        <w:spacing w:after="80"/>
      </w:pPr>
      <w:r>
        <w:rPr>
          <w:rFonts w:ascii="Arial" w:cs="Arial" w:eastAsia="Arial" w:hAnsi="Arial"/>
          <w:sz w:val="22"/>
          <w:szCs w:val="22"/>
        </w:rPr>
        <w:t xml:space="preserve">25/25 live database verification checks passed</w:t>
      </w:r>
    </w:p>
    <w:p>
      <w:pPr>
        <w:pStyle w:val="ListParagraph"/>
        <w:numPr>
          <w:ilvl w:val="0"/>
          <w:numId w:val="2"/>
        </w:numPr>
        <w:spacing w:after="80"/>
      </w:pPr>
      <w:r>
        <w:rPr>
          <w:rFonts w:ascii="Arial" w:cs="Arial" w:eastAsia="Arial" w:hAnsi="Arial"/>
          <w:sz w:val="22"/>
          <w:szCs w:val="22"/>
        </w:rPr>
        <w:t xml:space="preserve">35/35 roundtrip proof checks passed (AccumulatedJobState → SemanticObject → ObjectState → ObjectPatch → Instrument → SemanticCell → replay)</w:t>
      </w:r>
    </w:p>
    <w:p>
      <w:pPr>
        <w:pStyle w:val="ListParagraph"/>
        <w:numPr>
          <w:ilvl w:val="0"/>
          <w:numId w:val="2"/>
        </w:numPr>
        <w:spacing w:after="80"/>
      </w:pPr>
      <w:r>
        <w:rPr>
          <w:rFonts w:ascii="Arial" w:cs="Arial" w:eastAsia="Arial" w:hAnsi="Arial"/>
          <w:sz w:val="22"/>
          <w:szCs w:val="22"/>
        </w:rPr>
        <w:t xml:space="preserve">All three linearity types validated: Container (926 bytes, AFFINE), Patch (327 bytes, LINEAR), Capsule (533 bytes, RELEVANT)</w:t>
      </w:r>
    </w:p>
    <w:p>
      <w:pPr>
        <w:pStyle w:val="ListParagraph"/>
        <w:numPr>
          <w:ilvl w:val="0"/>
          <w:numId w:val="2"/>
        </w:numPr>
        <w:spacing w:after="80"/>
      </w:pPr>
      <w:r>
        <w:rPr>
          <w:rFonts w:ascii="Arial" w:cs="Arial" w:eastAsia="Arial" w:hAnsi="Arial"/>
          <w:sz w:val="22"/>
          <w:szCs w:val="22"/>
        </w:rPr>
        <w:t xml:space="preserve">Type hash registry producing byte-identical cells to the Forth specification</w:t>
      </w:r>
    </w:p>
    <w:p>
      <w:r>
        <w:br w:type="page"/>
      </w:r>
    </w:p>
    <w:p>
      <w:pPr>
        <w:pStyle w:val="Heading1"/>
        <w:spacing w:after="150" w:before="300"/>
      </w:pPr>
      <w:r>
        <w:rPr>
          <w:rFonts w:ascii="Arial" w:cs="Arial" w:eastAsia="Arial" w:hAnsi="Arial"/>
          <w:b/>
          <w:bCs/>
        </w:rPr>
        <w:t xml:space="preserve">7. Cross-Tier Data Flow</w:t>
      </w:r>
    </w:p>
    <w:p>
      <w:pPr>
        <w:spacing w:after="120"/>
      </w:pPr>
      <w:r>
        <w:rPr>
          <w:rFonts w:ascii="Arial" w:cs="Arial" w:eastAsia="Arial" w:hAnsi="Arial"/>
          <w:sz w:val="22"/>
          <w:szCs w:val="22"/>
        </w:rPr>
        <w:t xml:space="preserve">This section traces a single commercial event—a customer requesting a plumbing quote—through all three tiers, showing exactly how each component participates.</w:t>
      </w:r>
    </w:p>
    <w:p>
      <w:pPr>
        <w:pStyle w:val="Heading2"/>
        <w:spacing w:after="150" w:before="300"/>
      </w:pPr>
      <w:r>
        <w:rPr>
          <w:rFonts w:ascii="Arial" w:cs="Arial" w:eastAsia="Arial" w:hAnsi="Arial"/>
          <w:b/>
          <w:bCs/>
        </w:rPr>
        <w:t xml:space="preserve">7.1 Event: Customer sends “My kitchen tap is leaking, can you come take a look?”</w:t>
      </w:r>
    </w:p>
    <w:p>
      <w:pPr>
        <w:pStyle w:val="Heading3"/>
        <w:spacing w:after="150" w:before="300"/>
      </w:pPr>
      <w:r>
        <w:rPr>
          <w:rFonts w:ascii="Arial" w:cs="Arial" w:eastAsia="Arial" w:hAnsi="Arial"/>
          <w:b/>
          <w:bCs/>
        </w:rPr>
        <w:t xml:space="preserve">Tier 2 (Runtime) — Immediate</w:t>
      </w:r>
    </w:p>
    <w:p>
      <w:pPr>
        <w:pStyle w:val="ListParagraph"/>
        <w:numPr>
          <w:ilvl w:val="0"/>
          <w:numId w:val="3"/>
        </w:numPr>
        <w:spacing w:after="80"/>
      </w:pPr>
      <w:r>
        <w:rPr>
          <w:rFonts w:ascii="Arial" w:cs="Arial" w:eastAsia="Arial" w:hAnsi="Arial"/>
          <w:sz w:val="22"/>
          <w:szCs w:val="22"/>
        </w:rPr>
        <w:t xml:space="preserve">chatService receives the message. The AI extraction pipeline runs, producing a MessageExtraction with jobType: plumbing, urgency: moderate, scope fragments.</w:t>
      </w:r>
    </w:p>
    <w:p>
      <w:pPr>
        <w:pStyle w:val="ListParagraph"/>
        <w:numPr>
          <w:ilvl w:val="0"/>
          <w:numId w:val="3"/>
        </w:numPr>
        <w:spacing w:after="80"/>
      </w:pPr>
      <w:r>
        <w:rPr>
          <w:rFonts w:ascii="Arial" w:cs="Arial" w:eastAsia="Arial" w:hAnsi="Arial"/>
          <w:sz w:val="22"/>
          <w:szCs w:val="22"/>
        </w:rPr>
        <w:t xml:space="preserve">ensureSemanticObject creates a sem_objects row (AFFINE, vertical=trades) and a sem_trades_jobs row (jobType=plumbing, legacyJobId linked).</w:t>
      </w:r>
    </w:p>
    <w:p>
      <w:pPr>
        <w:pStyle w:val="ListParagraph"/>
        <w:numPr>
          <w:ilvl w:val="0"/>
          <w:numId w:val="3"/>
        </w:numPr>
        <w:spacing w:after="80"/>
      </w:pPr>
      <w:r>
        <w:rPr>
          <w:rFonts w:ascii="Arial" w:cs="Arial" w:eastAsia="Arial" w:hAnsi="Arial"/>
          <w:sz w:val="22"/>
          <w:szCs w:val="22"/>
        </w:rPr>
        <w:t xml:space="preserve">recordEvidence creates a sem_evidence_items row (kind=customer_message, RELEVANT).</w:t>
      </w:r>
    </w:p>
    <w:p>
      <w:pPr>
        <w:pStyle w:val="ListParagraph"/>
        <w:numPr>
          <w:ilvl w:val="0"/>
          <w:numId w:val="3"/>
        </w:numPr>
        <w:spacing w:after="80"/>
      </w:pPr>
      <w:r>
        <w:rPr>
          <w:rFonts w:ascii="Arial" w:cs="Arial" w:eastAsia="Arial" w:hAnsi="Arial"/>
          <w:sz w:val="22"/>
          <w:szCs w:val="22"/>
        </w:rPr>
        <w:t xml:space="preserve">The extraction is merged into AccumulatedJobState. mergeExtraction produces a MergeResult with stateHash = SHA256(prevHash + newState).</w:t>
      </w:r>
    </w:p>
    <w:p>
      <w:pPr>
        <w:pStyle w:val="ListParagraph"/>
        <w:numPr>
          <w:ilvl w:val="0"/>
          <w:numId w:val="3"/>
        </w:numPr>
        <w:spacing w:after="80"/>
      </w:pPr>
      <w:r>
        <w:rPr>
          <w:rFonts w:ascii="Arial" w:cs="Arial" w:eastAsia="Arial" w:hAnsi="Arial"/>
          <w:sz w:val="22"/>
          <w:szCs w:val="22"/>
        </w:rPr>
        <w:t xml:space="preserve">recordStateSnapshot creates a sem_object_states row (version=1, hash-chained) and a sem_object_patches row (patchKind=extraction, LINEAR).</w:t>
      </w:r>
    </w:p>
    <w:p>
      <w:pPr>
        <w:pStyle w:val="ListParagraph"/>
        <w:numPr>
          <w:ilvl w:val="0"/>
          <w:numId w:val="3"/>
        </w:numPr>
        <w:spacing w:after="80"/>
      </w:pPr>
      <w:r>
        <w:rPr>
          <w:rFonts w:ascii="Arial" w:cs="Arial" w:eastAsia="Arial" w:hAnsi="Arial"/>
          <w:sz w:val="22"/>
          <w:szCs w:val="22"/>
        </w:rPr>
        <w:t xml:space="preserve">recordScores creates sem_object_scores rows: trades-fit=0.92, trades-worthiness=0.65, trades-completeness=0.3.</w:t>
      </w:r>
    </w:p>
    <w:p>
      <w:pPr>
        <w:pStyle w:val="ListParagraph"/>
        <w:numPr>
          <w:ilvl w:val="0"/>
          <w:numId w:val="3"/>
        </w:numPr>
        <w:spacing w:after="80"/>
      </w:pPr>
      <w:r>
        <w:rPr>
          <w:rFonts w:ascii="Arial" w:cs="Arial" w:eastAsia="Arial" w:hAnsi="Arial"/>
          <w:sz w:val="22"/>
          <w:szCs w:val="22"/>
        </w:rPr>
        <w:t xml:space="preserve">The type hash registry packs the state into a 1KB cell: SHA256(services.trades.plumbing:tx.hire:inst.quote.rom) in the TYPE-HASH field. The cell is stored in sem_semantic_cells.</w:t>
      </w:r>
    </w:p>
    <w:p>
      <w:pPr>
        <w:pStyle w:val="Heading3"/>
        <w:spacing w:after="150" w:before="300"/>
      </w:pPr>
      <w:r>
        <w:rPr>
          <w:rFonts w:ascii="Arial" w:cs="Arial" w:eastAsia="Arial" w:hAnsi="Arial"/>
          <w:b/>
          <w:bCs/>
        </w:rPr>
        <w:t xml:space="preserve">Tier 1 (Specification) — Compile-time validation</w:t>
      </w:r>
    </w:p>
    <w:p>
      <w:pPr>
        <w:spacing w:after="120"/>
      </w:pPr>
      <w:r>
        <w:rPr>
          <w:rFonts w:ascii="Arial" w:cs="Arial" w:eastAsia="Arial" w:hAnsi="Arial"/>
          <w:sz w:val="22"/>
          <w:szCs w:val="22"/>
        </w:rPr>
        <w:t xml:space="preserve">The packed cell conforms to the Forth specification: magic numbers at offset 0, linearity=2 (AFFINE) at offset 16, type hash at offset 30, payload at offset 256. The Forth validator (IS-SEMANTIC-OBJECT?) would return TRUE. CAN-DUPLICATE? returns FALSE (AFFINE cannot be copied). CAN-DISCARD? returns TRUE (AFFINE can be abandoned).</w:t>
      </w:r>
    </w:p>
    <w:p>
      <w:pPr>
        <w:pStyle w:val="Heading3"/>
        <w:spacing w:after="150" w:before="300"/>
      </w:pPr>
      <w:r>
        <w:rPr>
          <w:rFonts w:ascii="Arial" w:cs="Arial" w:eastAsia="Arial" w:hAnsi="Arial"/>
          <w:b/>
          <w:bCs/>
        </w:rPr>
        <w:t xml:space="preserve">Tier 3 (Anchoring) — At milestone</w:t>
      </w:r>
    </w:p>
    <w:p>
      <w:pPr>
        <w:spacing w:after="120"/>
      </w:pPr>
      <w:r>
        <w:rPr>
          <w:rFonts w:ascii="Arial" w:cs="Arial" w:eastAsia="Arial" w:hAnsi="Arial"/>
          <w:sz w:val="22"/>
          <w:szCs w:val="22"/>
        </w:rPr>
        <w:t xml:space="preserve">When the job progresses to a quote milestone, the anchor bridge reads the packed cell from sem_semantic_cells, passes it to SemanticManager.createSemanticObject(cellBytes, ‘AFFINE’, metadata). The manager determines: 926 bytes &gt; 768, so hybrid storage is used. A reference ordinal is inscribed on-chain. The full cell is stored in 2-PDA stack storage (or IPFS, depending on deployment). The txid is written back to sem_objects.onChainTxid.</w:t>
      </w:r>
    </w:p>
    <w:p>
      <w:r>
        <w:br w:type="page"/>
      </w:r>
    </w:p>
    <w:p>
      <w:pPr>
        <w:pStyle w:val="Heading1"/>
        <w:spacing w:after="150" w:before="300"/>
      </w:pPr>
      <w:r>
        <w:rPr>
          <w:rFonts w:ascii="Arial" w:cs="Arial" w:eastAsia="Arial" w:hAnsi="Arial"/>
          <w:b/>
          <w:bCs/>
        </w:rPr>
        <w:t xml:space="preserve">8. Alignment with Scripted Supply (Wright)</w:t>
      </w:r>
    </w:p>
    <w:p>
      <w:pPr>
        <w:spacing w:after="120"/>
      </w:pPr>
      <w:r>
        <w:rPr>
          <w:rFonts w:ascii="Arial" w:cs="Arial" w:eastAsia="Arial" w:hAnsi="Arial"/>
          <w:sz w:val="22"/>
          <w:szCs w:val="22"/>
        </w:rPr>
        <w:t xml:space="preserve">The following table maps Wright’s requirements from “Scripted Supply: A Bitcoin-Based Architecture for EDI and On-Chain Commerce” to the corresponding implementation in this three-tier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Wright’s Requirement</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State transitions, not messages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Every chat message produces a MergeResult (deterministic δ). The ObjectState chain is append-only and hash-linked. No mutable records.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Deterministic transition function δ</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mergeExtraction() in extractionSchema.ts. Pure function: (prevState, extraction) → (newState, stateHash, delta). Same input always produces same output.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Payment and message are atomic</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Tier 3 anchor: invoice UTXO is spent by payment transaction. The payment IS the state transition. Cannot pay without proof of work completion (Script condition).</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 epistemic fragmentation</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Single sem_objects table. All parties read the same state. No local copies, no reconciliation. The state hash chain is the canonical truth.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UTXO singularity (no double-spend)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LINEAR linearity. A quote can be accepted once. A payment can be made once. Enforced at Forth level (SEMANTIC-FAILURE on duplicate), Postgres level (version check), and BSV level (UTXO spent).</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Cryptographic proof, not paper trail</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Type hash = SHA256 of the commercial type. State hash = SHA256 of the full state. On-chain anchor = mined transaction with proof-of-work. Every fact is provable.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Warehouse/terminal as validation agent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Each pipeline stage (chatService, scoring, instruments) acts as a state agent. Authority is modelled through the adapter functions. No manual data entry.</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Script-enforced conditional execution</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Tier 3: locking scripts with OP_CHECKSIG, hash locks, time locks. A delivery token requires customer signature + preimage. Only one claim path is valid.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 mutable intermediaries (VANs)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 VAN. The customer sends a message. The AI extracts state. The adapter writes to the shared ledger. The anchor commits to chain. No intermediary can modify the state.</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IP-to-IP communication + on-chain enforcement</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Tier 2 handles real-time messaging (WebSocket/HTTP). Tier 3 handles on-chain commitment. Communication is separated from proof, exactly as Wright specifies.</w:t>
            </w:r>
          </w:p>
        </w:tc>
      </w:tr>
    </w:tbl>
    <w:p>
      <w:pPr>
        <w:spacing w:after="120"/>
      </w:pPr>
      <w:r>
        <w:rPr>
          <w:rFonts w:ascii="Arial" w:cs="Arial" w:eastAsia="Arial" w:hAnsi="Arial"/>
          <w:sz w:val="22"/>
          <w:szCs w:val="22"/>
        </w:rPr>
        <w:t xml:space="preserve"/>
      </w:r>
    </w:p>
    <w:p>
      <w:r>
        <w:br w:type="page"/>
      </w:r>
    </w:p>
    <w:p>
      <w:pPr>
        <w:pStyle w:val="Heading1"/>
        <w:spacing w:after="150" w:before="300"/>
      </w:pPr>
      <w:r>
        <w:rPr>
          <w:rFonts w:ascii="Arial" w:cs="Arial" w:eastAsia="Arial" w:hAnsi="Arial"/>
          <w:b/>
          <w:bCs/>
        </w:rPr>
        <w:t xml:space="preserve">9. Implementation Status</w:t>
      </w:r>
    </w:p>
    <w:p>
      <w:pPr>
        <w:pStyle w:val="Heading2"/>
        <w:spacing w:after="150" w:before="300"/>
      </w:pPr>
      <w:r>
        <w:rPr>
          <w:rFonts w:ascii="Arial" w:cs="Arial" w:eastAsia="Arial" w:hAnsi="Arial"/>
          <w:b/>
          <w:bCs/>
        </w:rPr>
        <w:t xml:space="preserve">9.1 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200"/>
        <w:gridCol w:w="246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Tier 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semantic-objects.fs (cell layout)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Complete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semantos/bitcoin-script/core/</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Tier 1</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2-PDA engine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Complete</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semantos/bitcoin-script/core/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Tier 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Linearity enforcement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Complete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semantos/bitcoin-script/core/</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Tier 1</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Crypto FFI (SHA256, ECDSA)</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Complete</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semantos/bitcoin-script/crypto/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Tier 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Universal semantic schema (Drizzle)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Complete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oddjobtodd/src/lib/db/schema.universal.ts</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Tier 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Semantic runtime adapter</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Complete</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oddjobtodd/src/lib/domain/bridge/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Tier 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 hash registry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Complete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oddjobtodd/src/lib/domain/bridge/</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Tier 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Chat pipeline dual-write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Complete</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oddjobtodd/src/lib/services/chatService.ts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Tier 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Trades taxonomy (23 entries)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Complete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oddjobtodd/scripts/seed-trades-taxonomy.ts</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Tier 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Neon deployment (18 tables)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Complete</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Live on Neon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Tier 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SemanticManager (ordinal creation)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Scaffolded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semantos/semantic-object-tool/src/</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Tier 3</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TransactionBuilder (BSV tx)</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Scaffolded</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semantos/semantic-object-tool/src/</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Tier 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 commands (/create, /spend, etc.)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Scaffolded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semantos/semantic-object-tool/cli/</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Tier 3</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BSV SDK (ts-sdk v1.6.12)</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Complete</w:t>
            </w:r>
          </w:p>
        </w:tc>
        <w:tc>
          <w:tcPr>
            <w:tcW w:type="dxa" w:w="2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semantos/ts-sdk/</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Tier 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Anchor bridge (Tier 2 → Tier 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started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bl>
    <w:p>
      <w:pPr>
        <w:spacing w:after="120"/>
      </w:pPr>
      <w:r>
        <w:rPr>
          <w:rFonts w:ascii="Arial" w:cs="Arial" w:eastAsia="Arial" w:hAnsi="Arial"/>
          <w:sz w:val="22"/>
          <w:szCs w:val="22"/>
        </w:rPr>
        <w:t xml:space="preserve"/>
      </w:r>
    </w:p>
    <w:p>
      <w:pPr>
        <w:pStyle w:val="Heading2"/>
        <w:spacing w:after="150" w:before="300"/>
      </w:pPr>
      <w:r>
        <w:rPr>
          <w:rFonts w:ascii="Arial" w:cs="Arial" w:eastAsia="Arial" w:hAnsi="Arial"/>
          <w:b/>
          <w:bCs/>
        </w:rPr>
        <w:t xml:space="preserve">9.2 What Needs To Be Built</w:t>
      </w:r>
    </w:p>
    <w:p>
      <w:pPr>
        <w:pStyle w:val="ListParagraph"/>
        <w:numPr>
          <w:ilvl w:val="0"/>
          <w:numId w:val="4"/>
        </w:numPr>
        <w:spacing w:after="80"/>
      </w:pPr>
      <w:r>
        <w:rPr>
          <w:rFonts w:ascii="Arial" w:cs="Arial" w:eastAsia="Arial" w:hAnsi="Arial"/>
          <w:sz w:val="22"/>
          <w:szCs w:val="22"/>
        </w:rPr>
        <w:t xml:space="preserve">Anchor bridge function: takes packed cell from sem_semantic_cells, passes to SemanticManager, writes txid back.</w:t>
      </w:r>
    </w:p>
    <w:p>
      <w:pPr>
        <w:pStyle w:val="ListParagraph"/>
        <w:numPr>
          <w:ilvl w:val="0"/>
          <w:numId w:val="4"/>
        </w:numPr>
        <w:spacing w:after="80"/>
      </w:pPr>
      <w:r>
        <w:rPr>
          <w:rFonts w:ascii="Arial" w:cs="Arial" w:eastAsia="Arial" w:hAnsi="Arial"/>
          <w:sz w:val="22"/>
          <w:szCs w:val="22"/>
        </w:rPr>
        <w:t xml:space="preserve">Replace mocks in semantic-object-tool with real BSV SDK calls (ts-sdk is already present).</w:t>
      </w:r>
    </w:p>
    <w:p>
      <w:pPr>
        <w:pStyle w:val="ListParagraph"/>
        <w:numPr>
          <w:ilvl w:val="0"/>
          <w:numId w:val="4"/>
        </w:numPr>
        <w:spacing w:after="80"/>
      </w:pPr>
      <w:r>
        <w:rPr>
          <w:rFonts w:ascii="Arial" w:cs="Arial" w:eastAsia="Arial" w:hAnsi="Arial"/>
          <w:sz w:val="22"/>
          <w:szCs w:val="22"/>
        </w:rPr>
        <w:t xml:space="preserve">Port semantic-object-tool from CommonJS JavaScript to TypeScript/ESM to align with ts-sdk.</w:t>
      </w:r>
    </w:p>
    <w:p>
      <w:pPr>
        <w:pStyle w:val="ListParagraph"/>
        <w:numPr>
          <w:ilvl w:val="0"/>
          <w:numId w:val="4"/>
        </w:numPr>
        <w:spacing w:after="80"/>
      </w:pPr>
      <w:r>
        <w:rPr>
          <w:rFonts w:ascii="Arial" w:cs="Arial" w:eastAsia="Arial" w:hAnsi="Arial"/>
          <w:sz w:val="22"/>
          <w:szCs w:val="22"/>
        </w:rPr>
        <w:t xml:space="preserve">Deploy chatService changes to Vercel so real traffic hits the sem_* tables.</w:t>
      </w:r>
    </w:p>
    <w:p>
      <w:pPr>
        <w:pStyle w:val="ListParagraph"/>
        <w:numPr>
          <w:ilvl w:val="0"/>
          <w:numId w:val="4"/>
        </w:numPr>
        <w:spacing w:after="80"/>
      </w:pPr>
      <w:r>
        <w:rPr>
          <w:rFonts w:ascii="Arial" w:cs="Arial" w:eastAsia="Arial" w:hAnsi="Arial"/>
          <w:sz w:val="22"/>
          <w:szCs w:val="22"/>
        </w:rPr>
        <w:t xml:space="preserve">Update semantic-objects.fs to include trades-specific type hashes as constants.</w:t>
      </w:r>
    </w:p>
    <w:p>
      <w:pPr>
        <w:pStyle w:val="ListParagraph"/>
        <w:numPr>
          <w:ilvl w:val="0"/>
          <w:numId w:val="4"/>
        </w:numPr>
        <w:spacing w:after="80"/>
      </w:pPr>
      <w:r>
        <w:rPr>
          <w:rFonts w:ascii="Arial" w:cs="Arial" w:eastAsia="Arial" w:hAnsi="Arial"/>
          <w:sz w:val="22"/>
          <w:szCs w:val="22"/>
        </w:rPr>
        <w:t xml:space="preserve">Payment script templates: OP_CHECKSIG + hash lock for quote acceptance, time lock for invoice expiry.</w:t>
      </w:r>
    </w:p>
    <w:p>
      <w:pPr>
        <w:pStyle w:val="ListParagraph"/>
        <w:numPr>
          <w:ilvl w:val="0"/>
          <w:numId w:val="4"/>
        </w:numPr>
        <w:spacing w:after="80"/>
      </w:pPr>
      <w:r>
        <w:rPr>
          <w:rFonts w:ascii="Arial" w:cs="Arial" w:eastAsia="Arial" w:hAnsi="Arial"/>
          <w:sz w:val="22"/>
          <w:szCs w:val="22"/>
        </w:rPr>
        <w:t xml:space="preserve">SPV validation at terminal endpoints (mobile scanner, collection kiosk) using ElectrumX or Teranode.</w:t>
      </w:r>
    </w:p>
    <w:p>
      <w:r>
        <w:br w:type="page"/>
      </w:r>
    </w:p>
    <w:p>
      <w:pPr>
        <w:pStyle w:val="Heading1"/>
        <w:spacing w:after="150" w:before="300"/>
      </w:pPr>
      <w:r>
        <w:rPr>
          <w:rFonts w:ascii="Arial" w:cs="Arial" w:eastAsia="Arial" w:hAnsi="Arial"/>
          <w:b/>
          <w:bCs/>
        </w:rPr>
        <w:t xml:space="preserve">10. File Map</w:t>
      </w:r>
    </w:p>
    <w:p>
      <w:pPr>
        <w:spacing w:after="120"/>
      </w:pPr>
      <w:r>
        <w:rPr>
          <w:rFonts w:ascii="Arial" w:cs="Arial" w:eastAsia="Arial" w:hAnsi="Arial"/>
          <w:sz w:val="22"/>
          <w:szCs w:val="22"/>
        </w:rPr>
        <w:t xml:space="preserve">Complete listing of files across both repositories that constitute this architecture:</w:t>
      </w:r>
    </w:p>
    <w:p>
      <w:pPr>
        <w:pStyle w:val="Heading3"/>
        <w:spacing w:after="150" w:before="300"/>
      </w:pPr>
      <w:r>
        <w:rPr>
          <w:rFonts w:ascii="Arial" w:cs="Arial" w:eastAsia="Arial" w:hAnsi="Arial"/>
          <w:b/>
          <w:bCs/>
        </w:rPr>
        <w:t xml:space="preserve">semantos/ (Tier 1 + Tier 3)</w:t>
      </w:r>
    </w:p>
    <w:p>
      <w:pPr>
        <w:pStyle w:val="ListParagraph"/>
        <w:numPr>
          <w:ilvl w:val="0"/>
          <w:numId w:val="5"/>
        </w:numPr>
        <w:spacing w:after="80"/>
      </w:pPr>
      <w:r>
        <w:rPr>
          <w:rFonts w:ascii="Arial" w:cs="Arial" w:eastAsia="Arial" w:hAnsi="Arial"/>
          <w:sz w:val="22"/>
          <w:szCs w:val="22"/>
        </w:rPr>
        <w:t xml:space="preserve">bitcoin-script/core/semantic-objects.fs — Cell layout, linearity, validation (Tier 1 spec)</w:t>
      </w:r>
    </w:p>
    <w:p>
      <w:pPr>
        <w:pStyle w:val="ListParagraph"/>
        <w:numPr>
          <w:ilvl w:val="0"/>
          <w:numId w:val="5"/>
        </w:numPr>
        <w:spacing w:after="80"/>
      </w:pPr>
      <w:r>
        <w:rPr>
          <w:rFonts w:ascii="Arial" w:cs="Arial" w:eastAsia="Arial" w:hAnsi="Arial"/>
          <w:sz w:val="22"/>
          <w:szCs w:val="22"/>
        </w:rPr>
        <w:t xml:space="preserve">bitcoin-script/core/bitcoin-2pda.fs — 2-PDA engine (Tier 1 spec)</w:t>
      </w:r>
    </w:p>
    <w:p>
      <w:pPr>
        <w:pStyle w:val="ListParagraph"/>
        <w:numPr>
          <w:ilvl w:val="0"/>
          <w:numId w:val="5"/>
        </w:numPr>
        <w:spacing w:after="80"/>
      </w:pPr>
      <w:r>
        <w:rPr>
          <w:rFonts w:ascii="Arial" w:cs="Arial" w:eastAsia="Arial" w:hAnsi="Arial"/>
          <w:sz w:val="22"/>
          <w:szCs w:val="22"/>
        </w:rPr>
        <w:t xml:space="preserve">bitcoin-script/core/script-eval.fs — DFA script evaluator (Tier 1 spec)</w:t>
      </w:r>
    </w:p>
    <w:p>
      <w:pPr>
        <w:pStyle w:val="ListParagraph"/>
        <w:numPr>
          <w:ilvl w:val="0"/>
          <w:numId w:val="5"/>
        </w:numPr>
        <w:spacing w:after="80"/>
      </w:pPr>
      <w:r>
        <w:rPr>
          <w:rFonts w:ascii="Arial" w:cs="Arial" w:eastAsia="Arial" w:hAnsi="Arial"/>
          <w:sz w:val="22"/>
          <w:szCs w:val="22"/>
        </w:rPr>
        <w:t xml:space="preserve">bitcoin-script/crypto/crypto.fs — SHA256, ECDSA via Rust FFI (Tier 1 spec)</w:t>
      </w:r>
    </w:p>
    <w:p>
      <w:pPr>
        <w:pStyle w:val="ListParagraph"/>
        <w:numPr>
          <w:ilvl w:val="0"/>
          <w:numId w:val="5"/>
        </w:numPr>
        <w:spacing w:after="80"/>
      </w:pPr>
      <w:r>
        <w:rPr>
          <w:rFonts w:ascii="Arial" w:cs="Arial" w:eastAsia="Arial" w:hAnsi="Arial"/>
          <w:sz w:val="22"/>
          <w:szCs w:val="22"/>
        </w:rPr>
        <w:t xml:space="preserve">semantic-object-tool/src/semantic-manager.js — Object creation, ordinal inscription (Tier 3)</w:t>
      </w:r>
    </w:p>
    <w:p>
      <w:pPr>
        <w:pStyle w:val="ListParagraph"/>
        <w:numPr>
          <w:ilvl w:val="0"/>
          <w:numId w:val="5"/>
        </w:numPr>
        <w:spacing w:after="80"/>
      </w:pPr>
      <w:r>
        <w:rPr>
          <w:rFonts w:ascii="Arial" w:cs="Arial" w:eastAsia="Arial" w:hAnsi="Arial"/>
          <w:sz w:val="22"/>
          <w:szCs w:val="22"/>
        </w:rPr>
        <w:t xml:space="preserve">semantic-object-tool/src/transaction-builder.js — BSV transaction construction (Tier 3)</w:t>
      </w:r>
    </w:p>
    <w:p>
      <w:pPr>
        <w:pStyle w:val="ListParagraph"/>
        <w:numPr>
          <w:ilvl w:val="0"/>
          <w:numId w:val="5"/>
        </w:numPr>
        <w:spacing w:after="80"/>
      </w:pPr>
      <w:r>
        <w:rPr>
          <w:rFonts w:ascii="Arial" w:cs="Arial" w:eastAsia="Arial" w:hAnsi="Arial"/>
          <w:sz w:val="22"/>
          <w:szCs w:val="22"/>
        </w:rPr>
        <w:t xml:space="preserve">semantic-object-tool/src/key-manager.js — ECDH key derivation, BRC-52 certs (Tier 3)</w:t>
      </w:r>
    </w:p>
    <w:p>
      <w:pPr>
        <w:pStyle w:val="ListParagraph"/>
        <w:numPr>
          <w:ilvl w:val="0"/>
          <w:numId w:val="5"/>
        </w:numPr>
        <w:spacing w:after="80"/>
      </w:pPr>
      <w:r>
        <w:rPr>
          <w:rFonts w:ascii="Arial" w:cs="Arial" w:eastAsia="Arial" w:hAnsi="Arial"/>
          <w:sz w:val="22"/>
          <w:szCs w:val="22"/>
        </w:rPr>
        <w:t xml:space="preserve">semantic-object-tool/cli/semantic-commands.js — CLI interface (Tier 3)</w:t>
      </w:r>
    </w:p>
    <w:p>
      <w:pPr>
        <w:pStyle w:val="ListParagraph"/>
        <w:numPr>
          <w:ilvl w:val="0"/>
          <w:numId w:val="5"/>
        </w:numPr>
        <w:spacing w:after="80"/>
      </w:pPr>
      <w:r>
        <w:rPr>
          <w:rFonts w:ascii="Arial" w:cs="Arial" w:eastAsia="Arial" w:hAnsi="Arial"/>
          <w:sz w:val="22"/>
          <w:szCs w:val="22"/>
        </w:rPr>
        <w:t xml:space="preserve">ts-sdk/ — @bsv/sdk v1.6.12, full BSV blockchain SDK (Tier 3 dependency)</w:t>
      </w:r>
    </w:p>
    <w:p>
      <w:pPr>
        <w:pStyle w:val="Heading3"/>
        <w:spacing w:after="150" w:before="300"/>
      </w:pPr>
      <w:r>
        <w:rPr>
          <w:rFonts w:ascii="Arial" w:cs="Arial" w:eastAsia="Arial" w:hAnsi="Arial"/>
          <w:b/>
          <w:bCs/>
        </w:rPr>
        <w:t xml:space="preserve">oddjobtodd/ (Tier 2)</w:t>
      </w:r>
    </w:p>
    <w:p>
      <w:pPr>
        <w:pStyle w:val="ListParagraph"/>
        <w:numPr>
          <w:ilvl w:val="0"/>
          <w:numId w:val="6"/>
        </w:numPr>
        <w:spacing w:after="80"/>
      </w:pPr>
      <w:r>
        <w:rPr>
          <w:rFonts w:ascii="Arial" w:cs="Arial" w:eastAsia="Arial" w:hAnsi="Arial"/>
          <w:sz w:val="22"/>
          <w:szCs w:val="22"/>
        </w:rPr>
        <w:t xml:space="preserve">src/lib/db/schema.universal.ts — Universal semantic schema in Drizzle (18 tables)</w:t>
      </w:r>
    </w:p>
    <w:p>
      <w:pPr>
        <w:pStyle w:val="ListParagraph"/>
        <w:numPr>
          <w:ilvl w:val="0"/>
          <w:numId w:val="6"/>
        </w:numPr>
        <w:spacing w:after="80"/>
      </w:pPr>
      <w:r>
        <w:rPr>
          <w:rFonts w:ascii="Arial" w:cs="Arial" w:eastAsia="Arial" w:hAnsi="Arial"/>
          <w:sz w:val="22"/>
          <w:szCs w:val="22"/>
        </w:rPr>
        <w:t xml:space="preserve">src/lib/db/client.ts — Database client with merged schemas</w:t>
      </w:r>
    </w:p>
    <w:p>
      <w:pPr>
        <w:pStyle w:val="ListParagraph"/>
        <w:numPr>
          <w:ilvl w:val="0"/>
          <w:numId w:val="6"/>
        </w:numPr>
        <w:spacing w:after="80"/>
      </w:pPr>
      <w:r>
        <w:rPr>
          <w:rFonts w:ascii="Arial" w:cs="Arial" w:eastAsia="Arial" w:hAnsi="Arial"/>
          <w:sz w:val="22"/>
          <w:szCs w:val="22"/>
        </w:rPr>
        <w:t xml:space="preserve">src/lib/domain/bridge/semanticRuntimeAdapter.ts — Dual-write adapter (6 functions)</w:t>
      </w:r>
    </w:p>
    <w:p>
      <w:pPr>
        <w:pStyle w:val="ListParagraph"/>
        <w:numPr>
          <w:ilvl w:val="0"/>
          <w:numId w:val="6"/>
        </w:numPr>
        <w:spacing w:after="80"/>
      </w:pPr>
      <w:r>
        <w:rPr>
          <w:rFonts w:ascii="Arial" w:cs="Arial" w:eastAsia="Arial" w:hAnsi="Arial"/>
          <w:sz w:val="22"/>
          <w:szCs w:val="22"/>
        </w:rPr>
        <w:t xml:space="preserve">src/lib/domain/bridge/typeHashRegistry.ts — Cell packer, type hash computation</w:t>
      </w:r>
    </w:p>
    <w:p>
      <w:pPr>
        <w:pStyle w:val="ListParagraph"/>
        <w:numPr>
          <w:ilvl w:val="0"/>
          <w:numId w:val="6"/>
        </w:numPr>
        <w:spacing w:after="80"/>
      </w:pPr>
      <w:r>
        <w:rPr>
          <w:rFonts w:ascii="Arial" w:cs="Arial" w:eastAsia="Arial" w:hAnsi="Arial"/>
          <w:sz w:val="22"/>
          <w:szCs w:val="22"/>
        </w:rPr>
        <w:t xml:space="preserve">src/lib/services/chatService.ts — Chat pipeline with semantic adapter wiring</w:t>
      </w:r>
    </w:p>
    <w:p>
      <w:pPr>
        <w:pStyle w:val="ListParagraph"/>
        <w:numPr>
          <w:ilvl w:val="0"/>
          <w:numId w:val="6"/>
        </w:numPr>
        <w:spacing w:after="80"/>
      </w:pPr>
      <w:r>
        <w:rPr>
          <w:rFonts w:ascii="Arial" w:cs="Arial" w:eastAsia="Arial" w:hAnsi="Arial"/>
          <w:sz w:val="22"/>
          <w:szCs w:val="22"/>
        </w:rPr>
        <w:t xml:space="preserve">src/lib/ai/extractors/extractionSchema.ts — AccumulatedJobState, MergeResult, mergeExtraction</w:t>
      </w:r>
    </w:p>
    <w:p>
      <w:pPr>
        <w:pStyle w:val="ListParagraph"/>
        <w:numPr>
          <w:ilvl w:val="0"/>
          <w:numId w:val="6"/>
        </w:numPr>
        <w:spacing w:after="80"/>
      </w:pPr>
      <w:r>
        <w:rPr>
          <w:rFonts w:ascii="Arial" w:cs="Arial" w:eastAsia="Arial" w:hAnsi="Arial"/>
          <w:sz w:val="22"/>
          <w:szCs w:val="22"/>
        </w:rPr>
        <w:t xml:space="preserve">scripts/seed-trades-taxonomy.ts — 23-entry taxonomy seed script</w:t>
      </w:r>
    </w:p>
    <w:p>
      <w:pPr>
        <w:pStyle w:val="ListParagraph"/>
        <w:numPr>
          <w:ilvl w:val="0"/>
          <w:numId w:val="6"/>
        </w:numPr>
        <w:spacing w:after="80"/>
      </w:pPr>
      <w:r>
        <w:rPr>
          <w:rFonts w:ascii="Arial" w:cs="Arial" w:eastAsia="Arial" w:hAnsi="Arial"/>
          <w:sz w:val="22"/>
          <w:szCs w:val="22"/>
        </w:rPr>
        <w:t xml:space="preserve">scripts/prove-universal-roundtrip.ts — 35/35 roundtrip proof</w:t>
      </w:r>
    </w:p>
    <w:p>
      <w:pPr>
        <w:pStyle w:val="ListParagraph"/>
        <w:numPr>
          <w:ilvl w:val="0"/>
          <w:numId w:val="6"/>
        </w:numPr>
        <w:spacing w:after="80"/>
      </w:pPr>
      <w:r>
        <w:rPr>
          <w:rFonts w:ascii="Arial" w:cs="Arial" w:eastAsia="Arial" w:hAnsi="Arial"/>
          <w:sz w:val="22"/>
          <w:szCs w:val="22"/>
        </w:rPr>
        <w:t xml:space="preserve">scripts/verify-semantic-pipeline.ts — 25/25 live DB verification</w:t>
      </w:r>
    </w:p>
    <w:p>
      <w:pPr>
        <w:pStyle w:val="ListParagraph"/>
        <w:numPr>
          <w:ilvl w:val="0"/>
          <w:numId w:val="6"/>
        </w:numPr>
        <w:spacing w:after="80"/>
      </w:pPr>
      <w:r>
        <w:rPr>
          <w:rFonts w:ascii="Arial" w:cs="Arial" w:eastAsia="Arial" w:hAnsi="Arial"/>
          <w:sz w:val="22"/>
          <w:szCs w:val="22"/>
        </w:rPr>
        <w:t xml:space="preserve">drizzle/0005_aromatic_warpath.sql — DDL migration (358 lines, 7 enums, 18 tables)</w:t>
      </w:r>
    </w:p>
    <w:p>
      <w:pPr>
        <w:pStyle w:val="ListParagraph"/>
        <w:numPr>
          <w:ilvl w:val="0"/>
          <w:numId w:val="6"/>
        </w:numPr>
        <w:spacing w:after="80"/>
      </w:pPr>
      <w:r>
        <w:rPr>
          <w:rFonts w:ascii="Arial" w:cs="Arial" w:eastAsia="Arial" w:hAnsi="Arial"/>
          <w:sz w:val="22"/>
          <w:szCs w:val="22"/>
        </w:rPr>
        <w:t xml:space="preserve">drizzle.config.ts — Multi-schema Drizzle configuration</w:t>
      </w:r>
    </w:p>
    <w:p>
      <w:pPr>
        <w:pStyle w:val="ListParagraph"/>
        <w:numPr>
          <w:ilvl w:val="0"/>
          <w:numId w:val="6"/>
        </w:numPr>
        <w:spacing w:after="80"/>
      </w:pPr>
      <w:r>
        <w:rPr>
          <w:rFonts w:ascii="Arial" w:cs="Arial" w:eastAsia="Arial" w:hAnsi="Arial"/>
          <w:sz w:val="22"/>
          <w:szCs w:val="22"/>
        </w:rPr>
        <w:t xml:space="preserve">docs/universal-commerce-taxonomy-spec.md — Taxonomy specification</w:t>
      </w:r>
    </w:p>
    <w:p>
      <w:pPr>
        <w:pStyle w:val="ListParagraph"/>
        <w:numPr>
          <w:ilvl w:val="0"/>
          <w:numId w:val="6"/>
        </w:numPr>
        <w:spacing w:after="80"/>
      </w:pPr>
      <w:r>
        <w:rPr>
          <w:rFonts w:ascii="Arial" w:cs="Arial" w:eastAsia="Arial" w:hAnsi="Arial"/>
          <w:sz w:val="22"/>
          <w:szCs w:val="22"/>
        </w:rPr>
        <w:t xml:space="preserve">docs/compiler-to-semantos-bridge.md — Cell fit analysis, type hash bridge</w:t>
      </w:r>
    </w:p>
    <w:p>
      <w:r>
        <w:br w:type="page"/>
      </w:r>
    </w:p>
    <w:p>
      <w:pPr>
        <w:pStyle w:val="Heading1"/>
        <w:spacing w:after="150" w:before="300"/>
      </w:pPr>
      <w:r>
        <w:rPr>
          <w:rFonts w:ascii="Arial" w:cs="Arial" w:eastAsia="Arial" w:hAnsi="Arial"/>
          <w:b/>
          <w:bCs/>
        </w:rPr>
        <w:t xml:space="preserve">11. Closing: From Correspondence to Computation</w:t>
      </w:r>
    </w:p>
    <w:p>
      <w:pPr>
        <w:spacing w:after="120"/>
      </w:pPr>
      <w:r>
        <w:rPr>
          <w:rFonts w:ascii="Arial" w:cs="Arial" w:eastAsia="Arial" w:hAnsi="Arial"/>
          <w:sz w:val="22"/>
          <w:szCs w:val="22"/>
        </w:rPr>
        <w:t xml:space="preserve">EDI mechanised correspondence. Cloud APIs accelerated correspondence. Neither mechanised commerce. Commerce requires state transitions—provable, irreversible, atomic. It requires that payment and proof are the same construct. It requires that a declaration cannot exist without the execution it describes.</w:t>
      </w:r>
    </w:p>
    <w:p>
      <w:pPr>
        <w:spacing w:after="120"/>
      </w:pPr>
      <w:r>
        <w:rPr>
          <w:rFonts w:ascii="Arial" w:cs="Arial" w:eastAsia="Arial" w:hAnsi="Arial"/>
          <w:sz w:val="22"/>
          <w:szCs w:val="22"/>
        </w:rPr>
        <w:t xml:space="preserve">This architecture achieves that through three tiers: a formal specification in Forth that defines the cell model and linearity constraints, an operational runtime in TypeScript that manages real-time state transitions with hash-chained integrity, and an anchoring layer on BSV that commits packed cells as ordinal inscriptions—fusing payment and proof in a single, mined transaction.</w:t>
      </w:r>
    </w:p>
    <w:p>
      <w:pPr>
        <w:spacing w:after="120"/>
      </w:pPr>
      <w:r>
        <w:rPr>
          <w:rFonts w:ascii="Arial" w:cs="Arial" w:eastAsia="Arial" w:hAnsi="Arial"/>
          <w:sz w:val="22"/>
          <w:szCs w:val="22"/>
        </w:rPr>
        <w:t xml:space="preserve">The Trades vertical is the first proof. A customer hires a plumber. The intention is captured as an AFFINE semantic object. The extraction is a LINEAR patch. The quote is a RELEVANT capsule. The acceptance is a LINEAR binding—the customer’s signature spending the quote UTXO. The payment is the settlement—the invoice UTXO spent atomically. At every step, the state hash chain provides the deterministic transition function that EDI never had.</w:t>
      </w:r>
    </w:p>
    <w:p>
      <w:pPr>
        <w:spacing w:after="120"/>
      </w:pPr>
      <w:r>
        <w:rPr>
          <w:rFonts w:ascii="Arial" w:cs="Arial" w:eastAsia="Arial" w:hAnsi="Arial"/>
          <w:sz w:val="22"/>
          <w:szCs w:val="22"/>
        </w:rPr>
        <w:t xml:space="preserve">The system does not describe what happened. It causes it to happen. It does not encode hope. It encodes computation. And computation, unlike correspondence, cannot lie.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8"/>
        <w:szCs w:val="18"/>
      </w:rPr>
      <w:t xml:space="preserve">v0.1-draft  •  March 2026</w:t>
    </w:r>
    <w:r>
      <w:rPr>
        <w:rFonts w:ascii="Arial" w:cs="Arial" w:eastAsia="Arial" w:hAnsi="Arial"/>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Scripted Supply — Three-Tier Architecture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7"/>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2026-03-23T09:34:48.860Z</dcterms:created>
  <dcterms:modified xsi:type="dcterms:W3CDTF">2026-03-23T09:34:48.861Z</dcterms:modified>
</cp:coreProperties>
</file>

<file path=docProps/custom.xml><?xml version="1.0" encoding="utf-8"?>
<Properties xmlns="http://schemas.openxmlformats.org/officeDocument/2006/custom-properties" xmlns:vt="http://schemas.openxmlformats.org/officeDocument/2006/docPropsVTypes"/>
</file>