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Marun Production Loss Accounting and Downtime Analysis</w:t>
      </w:r>
    </w:p>
    <w:p>
      <w:pPr>
        <w:pStyle w:val="Subtitle"/>
      </w:pPr>
      <w:r>
        <w:t>Student guide with a worked HDPE production example</w:t>
      </w:r>
    </w:p>
    <w:p>
      <w:r>
        <w:rPr>
          <w:b w:val="0"/>
        </w:rPr>
        <w:t>This guide teaches you how a plant turns its product catalogue, production schedule, measurements and event records into an approved account of production losses. You will configure a training plant, follow a complete production day, explain the missing tonnes, investigate a recurring failure and check whether corrective action worked.</w:t>
      </w:r>
    </w:p>
    <w:p>
      <w:r>
        <w:rPr>
          <w:b w:val="0"/>
        </w:rPr>
        <w:t>The central lesson is that reliable loss accounting starts before the first dashboard. The plant must agree what it produces, where it measures output, what it expected to produce, which rate defines capability, and who can approve each result.</w:t>
      </w:r>
    </w:p>
    <w:p>
      <w:r>
        <w:rPr>
          <w:b w:val="0"/>
        </w:rPr>
        <w:t>The example follows HDPE extrusion in the context of Marun Petrochemical Company’s Industrial Unified Data Platform project. It uses the supplied Traverse Forge application documentation and single-extruder procedure. The production values are a realistic teaching dataset, not Marun operating results.</w:t>
      </w:r>
    </w:p>
    <w:p>
      <w:pPr>
        <w:pStyle w:val="Heading2"/>
      </w:pPr>
      <w:r>
        <w:t>What you will be able to do</w:t>
      </w:r>
    </w:p>
    <w:p>
      <w:pPr>
        <w:ind w:left="173"/>
      </w:pPr>
      <w:r>
        <w:rPr>
          <w:b w:val="0"/>
        </w:rPr>
        <w:t>• Build the plant, unit, asset and product model in the correct order.</w:t>
      </w:r>
    </w:p>
    <w:p>
      <w:pPr>
        <w:ind w:left="173"/>
      </w:pPr>
      <w:r>
        <w:rPr>
          <w:b w:val="0"/>
        </w:rPr>
        <w:t>• Distinguish production plans, capacity, gross output and first-pass good output.</w:t>
      </w:r>
    </w:p>
    <w:p>
      <w:pPr>
        <w:ind w:left="173"/>
      </w:pPr>
      <w:r>
        <w:rPr>
          <w:b w:val="0"/>
        </w:rPr>
        <w:t>• Calculate downtime, production losses, OEE and reliability measures without double counting.</w:t>
      </w:r>
    </w:p>
    <w:p>
      <w:pPr>
        <w:ind w:left="173"/>
      </w:pPr>
      <w:r>
        <w:rPr>
          <w:b w:val="0"/>
        </w:rPr>
        <w:t>• Reconcile and approve shifts, certify days, and understand financial close.</w:t>
      </w:r>
    </w:p>
    <w:p>
      <w:pPr>
        <w:ind w:left="173"/>
      </w:pPr>
      <w:r>
        <w:rPr>
          <w:b w:val="0"/>
        </w:rPr>
        <w:t>• Connect an approved loss to an evidence-based RCA and a measured improvement.</w:t>
      </w:r>
    </w:p>
    <w:p>
      <w:pPr>
        <w:pStyle w:val="Heading2"/>
      </w:pPr>
      <w:r>
        <w:t>How to study</w:t>
      </w:r>
    </w:p>
    <w:p>
      <w:r>
        <w:rPr>
          <w:b w:val="0"/>
        </w:rPr>
        <w:t>Read lessons 1 to 9 before opening the application. Work through lessons 10 to 16 with a calculator, then use lessons 17 to 27 for operating decisions and configuration practice. Complete the exercises before reading the answers.</w:t>
      </w:r>
    </w:p>
    <w:p>
      <w:r>
        <w:rPr>
          <w:b w:val="0"/>
        </w:rPr>
        <w:t>Suggested course format is four sessions of about two hours: fundamentals and setup; measurements and calculations; governance and analysis; practical exercises. This is a suggested teaching plan, not a site commissioning estimate.</w:t>
      </w:r>
    </w:p>
    <w:p>
      <w:r>
        <w:rPr>
          <w:b w:val="0"/>
        </w:rPr>
        <w:t>Edition 1 | 18 October 2026</w:t>
      </w:r>
    </w:p>
    <w:p>
      <w:r>
        <w:rPr>
          <w:b w:val="0"/>
        </w:rPr>
        <w:t>Based on application manuals documented 16 October 2026 and selected Marun project references. Prepared for student and project-team training.</w:t>
      </w:r>
    </w:p>
    <w:p>
      <w:r>
        <w:br w:type="page"/>
      </w:r>
    </w:p>
    <w:p>
      <w:pPr>
        <w:pStyle w:val="Heading1"/>
      </w:pPr>
      <w:r>
        <w:t>Course map and evidence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224"/>
        <w:gridCol w:w="5875"/>
      </w:tblGrid>
      <w:tr>
        <w:trPr>
          <w:cantSplit/>
          <w:tblHeader/>
        </w:trPr>
        <w:tc>
          <w:tcPr>
            <w:tcW w:type="dxa" w:w="2736"/>
            <w:vAlign w:val="center"/>
            <w:tcMar>
              <w:top w:w="75" w:type="dxa"/>
              <w:left w:w="75" w:type="dxa"/>
              <w:bottom w:w="75" w:type="dxa"/>
              <w:right w:w="75" w:type="dxa"/>
            </w:tcMar>
            <w:shd w:fill="173B57"/>
          </w:tcPr>
          <w:p>
            <w:pPr>
              <w:spacing w:after="0" w:before="0" w:line="252" w:lineRule="auto"/>
              <w:jc w:val="center"/>
            </w:pPr>
            <w:r>
              <w:rPr>
                <w:b/>
                <w:color w:val="FFFFFF"/>
                <w:sz w:val="18"/>
              </w:rPr>
              <w:t>Study block</w:t>
            </w:r>
          </w:p>
        </w:tc>
        <w:tc>
          <w:tcPr>
            <w:tcW w:type="dxa" w:w="1224"/>
            <w:vAlign w:val="center"/>
            <w:tcMar>
              <w:top w:w="75" w:type="dxa"/>
              <w:left w:w="75" w:type="dxa"/>
              <w:bottom w:w="75" w:type="dxa"/>
              <w:right w:w="75" w:type="dxa"/>
            </w:tcMar>
            <w:shd w:fill="173B57"/>
          </w:tcPr>
          <w:p>
            <w:pPr>
              <w:spacing w:after="0" w:before="0" w:line="252" w:lineRule="auto"/>
              <w:jc w:val="center"/>
            </w:pPr>
            <w:r>
              <w:rPr>
                <w:b/>
                <w:color w:val="FFFFFF"/>
                <w:sz w:val="18"/>
              </w:rPr>
              <w:t>Lessons</w:t>
            </w:r>
          </w:p>
        </w:tc>
        <w:tc>
          <w:tcPr>
            <w:tcW w:type="dxa" w:w="5875"/>
            <w:vAlign w:val="center"/>
            <w:tcMar>
              <w:top w:w="75" w:type="dxa"/>
              <w:left w:w="75" w:type="dxa"/>
              <w:bottom w:w="75" w:type="dxa"/>
              <w:right w:w="75" w:type="dxa"/>
            </w:tcMar>
            <w:shd w:fill="173B57"/>
          </w:tcPr>
          <w:p>
            <w:pPr>
              <w:spacing w:after="0" w:before="0" w:line="252" w:lineRule="auto"/>
              <w:jc w:val="center"/>
            </w:pPr>
            <w:r>
              <w:rPr>
                <w:b/>
                <w:color w:val="FFFFFF"/>
                <w:sz w:val="18"/>
              </w:rPr>
              <w:t>Main question</w:t>
            </w:r>
          </w:p>
        </w:tc>
      </w:tr>
      <w:tr>
        <w:trPr>
          <w:cantSplit/>
        </w:trPr>
        <w:tc>
          <w:tcPr>
            <w:tcW w:type="dxa" w:w="2736"/>
            <w:vAlign w:val="center"/>
            <w:tcMar>
              <w:top w:w="75" w:type="dxa"/>
              <w:left w:w="75" w:type="dxa"/>
              <w:bottom w:w="75" w:type="dxa"/>
              <w:right w:w="75" w:type="dxa"/>
            </w:tcMar>
            <w:shd w:fill="F1F5F7"/>
          </w:tcPr>
          <w:p>
            <w:pPr>
              <w:spacing w:after="0" w:before="0" w:line="252" w:lineRule="auto"/>
            </w:pPr>
            <w:r>
              <w:rPr>
                <w:b w:val="0"/>
                <w:color w:val="000000"/>
                <w:sz w:val="18"/>
              </w:rPr>
              <w:t>Foundations</w:t>
            </w:r>
          </w:p>
        </w:tc>
        <w:tc>
          <w:tcPr>
            <w:tcW w:type="dxa" w:w="1224"/>
            <w:vAlign w:val="center"/>
            <w:tcMar>
              <w:top w:w="75" w:type="dxa"/>
              <w:left w:w="75" w:type="dxa"/>
              <w:bottom w:w="75" w:type="dxa"/>
              <w:right w:w="75" w:type="dxa"/>
            </w:tcMar>
            <w:shd w:fill="F1F5F7"/>
          </w:tcPr>
          <w:p>
            <w:pPr>
              <w:spacing w:after="0" w:before="0" w:line="252" w:lineRule="auto"/>
              <w:jc w:val="center"/>
            </w:pPr>
            <w:r>
              <w:rPr>
                <w:b w:val="0"/>
                <w:color w:val="000000"/>
                <w:sz w:val="18"/>
              </w:rPr>
              <w:t>1 to 4</w:t>
            </w:r>
          </w:p>
        </w:tc>
        <w:tc>
          <w:tcPr>
            <w:tcW w:type="dxa" w:w="5875"/>
            <w:vAlign w:val="center"/>
            <w:tcMar>
              <w:top w:w="75" w:type="dxa"/>
              <w:left w:w="75" w:type="dxa"/>
              <w:bottom w:w="75" w:type="dxa"/>
              <w:right w:w="75" w:type="dxa"/>
            </w:tcMar>
            <w:shd w:fill="F1F5F7"/>
          </w:tcPr>
          <w:p>
            <w:pPr>
              <w:spacing w:after="0" w:before="0" w:line="252" w:lineRule="auto"/>
            </w:pPr>
            <w:r>
              <w:rPr>
                <w:b w:val="0"/>
                <w:color w:val="000000"/>
                <w:sz w:val="18"/>
              </w:rPr>
              <w:t>What is the plant accounting for and why?</w:t>
            </w:r>
          </w:p>
        </w:tc>
      </w:tr>
      <w:tr>
        <w:trPr>
          <w:cantSplit/>
        </w:trPr>
        <w:tc>
          <w:tcPr>
            <w:tcW w:type="dxa" w:w="2736"/>
            <w:vAlign w:val="center"/>
            <w:tcMar>
              <w:top w:w="75" w:type="dxa"/>
              <w:left w:w="75" w:type="dxa"/>
              <w:bottom w:w="75" w:type="dxa"/>
              <w:right w:w="75" w:type="dxa"/>
            </w:tcMar>
            <w:shd w:fill="FFFFFF"/>
          </w:tcPr>
          <w:p>
            <w:pPr>
              <w:spacing w:after="0" w:before="0" w:line="252" w:lineRule="auto"/>
            </w:pPr>
            <w:r>
              <w:rPr>
                <w:b w:val="0"/>
                <w:color w:val="000000"/>
                <w:sz w:val="18"/>
              </w:rPr>
              <w:t>Configuration</w:t>
            </w:r>
          </w:p>
        </w:tc>
        <w:tc>
          <w:tcPr>
            <w:tcW w:type="dxa" w:w="1224"/>
            <w:vAlign w:val="center"/>
            <w:tcMar>
              <w:top w:w="75" w:type="dxa"/>
              <w:left w:w="75" w:type="dxa"/>
              <w:bottom w:w="75" w:type="dxa"/>
              <w:right w:w="75" w:type="dxa"/>
            </w:tcMar>
            <w:shd w:fill="FFFFFF"/>
          </w:tcPr>
          <w:p>
            <w:pPr>
              <w:spacing w:after="0" w:before="0" w:line="252" w:lineRule="auto"/>
              <w:jc w:val="center"/>
            </w:pPr>
            <w:r>
              <w:rPr>
                <w:b w:val="0"/>
                <w:color w:val="000000"/>
                <w:sz w:val="18"/>
              </w:rPr>
              <w:t>5 to 9</w:t>
            </w:r>
          </w:p>
        </w:tc>
        <w:tc>
          <w:tcPr>
            <w:tcW w:type="dxa" w:w="5875"/>
            <w:vAlign w:val="center"/>
            <w:tcMar>
              <w:top w:w="75" w:type="dxa"/>
              <w:left w:w="75" w:type="dxa"/>
              <w:bottom w:w="75" w:type="dxa"/>
              <w:right w:w="75" w:type="dxa"/>
            </w:tcMar>
            <w:shd w:fill="FFFFFF"/>
          </w:tcPr>
          <w:p>
            <w:pPr>
              <w:spacing w:after="0" w:before="0" w:line="252" w:lineRule="auto"/>
            </w:pPr>
            <w:r>
              <w:rPr>
                <w:b w:val="0"/>
                <w:color w:val="000000"/>
                <w:sz w:val="18"/>
              </w:rPr>
              <w:t>What must exist before data can be trusted?</w:t>
            </w:r>
          </w:p>
        </w:tc>
      </w:tr>
      <w:tr>
        <w:trPr>
          <w:cantSplit/>
        </w:trPr>
        <w:tc>
          <w:tcPr>
            <w:tcW w:type="dxa" w:w="2736"/>
            <w:vAlign w:val="center"/>
            <w:tcMar>
              <w:top w:w="75" w:type="dxa"/>
              <w:left w:w="75" w:type="dxa"/>
              <w:bottom w:w="75" w:type="dxa"/>
              <w:right w:w="75" w:type="dxa"/>
            </w:tcMar>
            <w:shd w:fill="F1F5F7"/>
          </w:tcPr>
          <w:p>
            <w:pPr>
              <w:spacing w:after="0" w:before="0" w:line="252" w:lineRule="auto"/>
            </w:pPr>
            <w:r>
              <w:rPr>
                <w:b w:val="0"/>
                <w:color w:val="000000"/>
                <w:sz w:val="18"/>
              </w:rPr>
              <w:t>Worked production day</w:t>
            </w:r>
          </w:p>
        </w:tc>
        <w:tc>
          <w:tcPr>
            <w:tcW w:type="dxa" w:w="1224"/>
            <w:vAlign w:val="center"/>
            <w:tcMar>
              <w:top w:w="75" w:type="dxa"/>
              <w:left w:w="75" w:type="dxa"/>
              <w:bottom w:w="75" w:type="dxa"/>
              <w:right w:w="75" w:type="dxa"/>
            </w:tcMar>
            <w:shd w:fill="F1F5F7"/>
          </w:tcPr>
          <w:p>
            <w:pPr>
              <w:spacing w:after="0" w:before="0" w:line="252" w:lineRule="auto"/>
              <w:jc w:val="center"/>
            </w:pPr>
            <w:r>
              <w:rPr>
                <w:b w:val="0"/>
                <w:color w:val="000000"/>
                <w:sz w:val="18"/>
              </w:rPr>
              <w:t>10 to 16</w:t>
            </w:r>
          </w:p>
        </w:tc>
        <w:tc>
          <w:tcPr>
            <w:tcW w:type="dxa" w:w="5875"/>
            <w:vAlign w:val="center"/>
            <w:tcMar>
              <w:top w:w="75" w:type="dxa"/>
              <w:left w:w="75" w:type="dxa"/>
              <w:bottom w:w="75" w:type="dxa"/>
              <w:right w:w="75" w:type="dxa"/>
            </w:tcMar>
            <w:shd w:fill="F1F5F7"/>
          </w:tcPr>
          <w:p>
            <w:pPr>
              <w:spacing w:after="0" w:before="0" w:line="252" w:lineRule="auto"/>
            </w:pPr>
            <w:r>
              <w:rPr>
                <w:b w:val="0"/>
                <w:color w:val="000000"/>
                <w:sz w:val="18"/>
              </w:rPr>
              <w:t>Where did the tonnes and time go?</w:t>
            </w:r>
          </w:p>
        </w:tc>
      </w:tr>
      <w:tr>
        <w:trPr>
          <w:cantSplit/>
        </w:trPr>
        <w:tc>
          <w:tcPr>
            <w:tcW w:type="dxa" w:w="2736"/>
            <w:vAlign w:val="center"/>
            <w:tcMar>
              <w:top w:w="75" w:type="dxa"/>
              <w:left w:w="75" w:type="dxa"/>
              <w:bottom w:w="75" w:type="dxa"/>
              <w:right w:w="75" w:type="dxa"/>
            </w:tcMar>
            <w:shd w:fill="FFFFFF"/>
          </w:tcPr>
          <w:p>
            <w:pPr>
              <w:spacing w:after="0" w:before="0" w:line="252" w:lineRule="auto"/>
            </w:pPr>
            <w:r>
              <w:rPr>
                <w:b w:val="0"/>
                <w:color w:val="000000"/>
                <w:sz w:val="18"/>
              </w:rPr>
              <w:t>Real operating complications</w:t>
            </w:r>
          </w:p>
        </w:tc>
        <w:tc>
          <w:tcPr>
            <w:tcW w:type="dxa" w:w="1224"/>
            <w:vAlign w:val="center"/>
            <w:tcMar>
              <w:top w:w="75" w:type="dxa"/>
              <w:left w:w="75" w:type="dxa"/>
              <w:bottom w:w="75" w:type="dxa"/>
              <w:right w:w="75" w:type="dxa"/>
            </w:tcMar>
            <w:shd w:fill="FFFFFF"/>
          </w:tcPr>
          <w:p>
            <w:pPr>
              <w:spacing w:after="0" w:before="0" w:line="252" w:lineRule="auto"/>
              <w:jc w:val="center"/>
            </w:pPr>
            <w:r>
              <w:rPr>
                <w:b w:val="0"/>
                <w:color w:val="000000"/>
                <w:sz w:val="18"/>
              </w:rPr>
              <w:t>17 to 20</w:t>
            </w:r>
          </w:p>
        </w:tc>
        <w:tc>
          <w:tcPr>
            <w:tcW w:type="dxa" w:w="5875"/>
            <w:vAlign w:val="center"/>
            <w:tcMar>
              <w:top w:w="75" w:type="dxa"/>
              <w:left w:w="75" w:type="dxa"/>
              <w:bottom w:w="75" w:type="dxa"/>
              <w:right w:w="75" w:type="dxa"/>
            </w:tcMar>
            <w:shd w:fill="FFFFFF"/>
          </w:tcPr>
          <w:p>
            <w:pPr>
              <w:spacing w:after="0" w:before="0" w:line="252" w:lineRule="auto"/>
            </w:pPr>
            <w:r>
              <w:rPr>
                <w:b w:val="0"/>
                <w:color w:val="000000"/>
                <w:sz w:val="18"/>
              </w:rPr>
              <w:t>How do we handle overlaps and changing conditions?</w:t>
            </w:r>
          </w:p>
        </w:tc>
      </w:tr>
      <w:tr>
        <w:trPr>
          <w:cantSplit/>
        </w:trPr>
        <w:tc>
          <w:tcPr>
            <w:tcW w:type="dxa" w:w="2736"/>
            <w:vAlign w:val="center"/>
            <w:tcMar>
              <w:top w:w="75" w:type="dxa"/>
              <w:left w:w="75" w:type="dxa"/>
              <w:bottom w:w="75" w:type="dxa"/>
              <w:right w:w="75" w:type="dxa"/>
            </w:tcMar>
            <w:shd w:fill="F1F5F7"/>
          </w:tcPr>
          <w:p>
            <w:pPr>
              <w:spacing w:after="0" w:before="0" w:line="252" w:lineRule="auto"/>
            </w:pPr>
            <w:r>
              <w:rPr>
                <w:b w:val="0"/>
                <w:color w:val="000000"/>
                <w:sz w:val="18"/>
              </w:rPr>
              <w:t>Decisions and governance</w:t>
            </w:r>
          </w:p>
        </w:tc>
        <w:tc>
          <w:tcPr>
            <w:tcW w:type="dxa" w:w="1224"/>
            <w:vAlign w:val="center"/>
            <w:tcMar>
              <w:top w:w="75" w:type="dxa"/>
              <w:left w:w="75" w:type="dxa"/>
              <w:bottom w:w="75" w:type="dxa"/>
              <w:right w:w="75" w:type="dxa"/>
            </w:tcMar>
            <w:shd w:fill="F1F5F7"/>
          </w:tcPr>
          <w:p>
            <w:pPr>
              <w:spacing w:after="0" w:before="0" w:line="252" w:lineRule="auto"/>
              <w:jc w:val="center"/>
            </w:pPr>
            <w:r>
              <w:rPr>
                <w:b w:val="0"/>
                <w:color w:val="000000"/>
                <w:sz w:val="18"/>
              </w:rPr>
              <w:t>21 to 27</w:t>
            </w:r>
          </w:p>
        </w:tc>
        <w:tc>
          <w:tcPr>
            <w:tcW w:type="dxa" w:w="5875"/>
            <w:vAlign w:val="center"/>
            <w:tcMar>
              <w:top w:w="75" w:type="dxa"/>
              <w:left w:w="75" w:type="dxa"/>
              <w:bottom w:w="75" w:type="dxa"/>
              <w:right w:w="75" w:type="dxa"/>
            </w:tcMar>
            <w:shd w:fill="F1F5F7"/>
          </w:tcPr>
          <w:p>
            <w:pPr>
              <w:spacing w:after="0" w:before="0" w:line="252" w:lineRule="auto"/>
            </w:pPr>
            <w:r>
              <w:rPr>
                <w:b w:val="0"/>
                <w:color w:val="000000"/>
                <w:sz w:val="18"/>
              </w:rPr>
              <w:t>Who approves the result and acts on it?</w:t>
            </w:r>
          </w:p>
        </w:tc>
      </w:tr>
      <w:tr>
        <w:trPr>
          <w:cantSplit/>
        </w:trPr>
        <w:tc>
          <w:tcPr>
            <w:tcW w:type="dxa" w:w="2736"/>
            <w:vAlign w:val="center"/>
            <w:tcMar>
              <w:top w:w="75" w:type="dxa"/>
              <w:left w:w="75" w:type="dxa"/>
              <w:bottom w:w="75" w:type="dxa"/>
              <w:right w:w="75" w:type="dxa"/>
            </w:tcMar>
            <w:shd w:fill="FFFFFF"/>
          </w:tcPr>
          <w:p>
            <w:pPr>
              <w:spacing w:after="0" w:before="0" w:line="252" w:lineRule="auto"/>
            </w:pPr>
            <w:r>
              <w:rPr>
                <w:b w:val="0"/>
                <w:color w:val="000000"/>
                <w:sz w:val="18"/>
              </w:rPr>
              <w:t>Practice and reference</w:t>
            </w:r>
          </w:p>
        </w:tc>
        <w:tc>
          <w:tcPr>
            <w:tcW w:type="dxa" w:w="1224"/>
            <w:vAlign w:val="center"/>
            <w:tcMar>
              <w:top w:w="75" w:type="dxa"/>
              <w:left w:w="75" w:type="dxa"/>
              <w:bottom w:w="75" w:type="dxa"/>
              <w:right w:w="75" w:type="dxa"/>
            </w:tcMar>
            <w:shd w:fill="FFFFFF"/>
          </w:tcPr>
          <w:p>
            <w:pPr>
              <w:spacing w:after="0" w:before="0" w:line="252" w:lineRule="auto"/>
              <w:jc w:val="center"/>
            </w:pPr>
            <w:r>
              <w:rPr>
                <w:b w:val="0"/>
                <w:color w:val="000000"/>
                <w:sz w:val="18"/>
              </w:rPr>
              <w:t>28 to 33</w:t>
            </w:r>
          </w:p>
        </w:tc>
        <w:tc>
          <w:tcPr>
            <w:tcW w:type="dxa" w:w="5875"/>
            <w:vAlign w:val="center"/>
            <w:tcMar>
              <w:top w:w="75" w:type="dxa"/>
              <w:left w:w="75" w:type="dxa"/>
              <w:bottom w:w="75" w:type="dxa"/>
              <w:right w:w="75" w:type="dxa"/>
            </w:tcMar>
            <w:shd w:fill="FFFFFF"/>
          </w:tcPr>
          <w:p>
            <w:pPr>
              <w:spacing w:after="0" w:before="0" w:line="252" w:lineRule="auto"/>
            </w:pPr>
            <w:r>
              <w:rPr>
                <w:b w:val="0"/>
                <w:color w:val="000000"/>
                <w:sz w:val="18"/>
              </w:rPr>
              <w:t>Can you repeat the method and defend the answer?</w:t>
            </w:r>
          </w:p>
        </w:tc>
      </w:tr>
    </w:tbl>
    <w:p>
      <w:pPr>
        <w:spacing w:after="20"/>
      </w:pPr>
    </w:p>
    <w:p>
      <w:pPr>
        <w:pStyle w:val="Heading2"/>
      </w:pPr>
      <w:r>
        <w:t>Three kinds of information</w:t>
      </w:r>
    </w:p>
    <w:p>
      <w:r>
        <w:rPr>
          <w:b w:val="0"/>
        </w:rPr>
      </w:r>
      <w:r>
        <w:rPr>
          <w:b/>
        </w:rPr>
        <w:t>Project context</w:t>
      </w:r>
      <w:r>
        <w:rPr>
          <w:b w:val="0"/>
        </w:rPr>
        <w:t xml:space="preserve"> describes the intent and process context found in the Marun FDS, operating-model and HDPE engineering references. A design document or proposed rule is not proof that a live connection or workflow has been commissioned.</w:t>
      </w:r>
    </w:p>
    <w:p>
      <w:r>
        <w:rPr>
          <w:b w:val="0"/>
        </w:rPr>
      </w:r>
      <w:r>
        <w:rPr>
          <w:b/>
        </w:rPr>
        <w:t>Documented application behavior</w:t>
      </w:r>
      <w:r>
        <w:rPr>
          <w:b w:val="0"/>
        </w:rPr>
        <w:t xml:space="preserve"> comes from the five supplied manuals and the end-to-end PDF. Screen names and routes are provided so you can relate fundamentals to the application. This guide does not claim to have executed the application or inspected its currently deployed build.</w:t>
      </w:r>
    </w:p>
    <w:p>
      <w:r>
        <w:rPr>
          <w:b w:val="0"/>
        </w:rPr>
      </w:r>
      <w:r>
        <w:rPr>
          <w:b/>
        </w:rPr>
        <w:t>Teaching assumptions</w:t>
      </w:r>
      <w:r>
        <w:rPr>
          <w:b w:val="0"/>
        </w:rPr>
        <w:t xml:space="preserve"> are the production values, training IDs, expanded scenarios, invented handoffs and proposed acceptance criteria in this guide. They must be replaced by approved site data before actual commissioning.</w:t>
      </w:r>
    </w:p>
    <w:p>
      <w:pPr>
        <w:pStyle w:val="Heading2"/>
      </w:pPr>
      <w:r>
        <w:t>A material source conflict</w:t>
      </w:r>
    </w:p>
    <w:p>
      <w:r>
        <w:rPr>
          <w:b w:val="0"/>
        </w:rPr>
        <w:t>The five manuals identify source revision 2f385d2 and describe independence checks without a SuperAdmin exception. The single-extruder PDF describes an explicit SuperAdmin override added on 16 October 2026, with separate migration and test evidence. Both sources carry the same calendar date, so date alone does not establish the installed behavior.</w:t>
      </w:r>
    </w:p>
    <w:p>
      <w:r>
        <w:rPr>
          <w:b w:val="0"/>
        </w:rPr>
        <w:t>The ordinary-user handoffs taught here remain valid in both descriptions. An instructor may use the single-person SuperAdmin path only after confirming that the intended build, migration and site policy support it. The exception does not remove required evidence or calculation gates. No demonstration passwords are reproduced here.</w:t>
      </w:r>
    </w:p>
    <w:p>
      <w:pPr>
        <w:pStyle w:val="Heading2"/>
      </w:pPr>
      <w:r>
        <w:t>Scope of the review</w:t>
      </w:r>
    </w:p>
    <w:p>
      <w:r>
        <w:rPr>
          <w:b w:val="0"/>
        </w:rPr>
        <w:t>The six supplied application files and selected relevant project references support this course. This is a focused PLA and downtime learning guide, not a complete audit of every file in the large Marun project archive. The source register in lesson 33 records the evidence used and outstanding site inputs.</w:t>
      </w:r>
    </w:p>
    <w:p>
      <w:r>
        <w:br w:type="page"/>
      </w:r>
    </w:p>
    <w:p>
      <w:pPr>
        <w:pStyle w:val="Heading1"/>
      </w:pPr>
      <w:r>
        <w:t>1 Marun and the role of the IDP</w:t>
      </w:r>
    </w:p>
    <w:p>
      <w:r>
        <w:rPr>
          <w:b w:val="0"/>
        </w:rPr>
        <w:t>The Marun General FDS describes an Industrial Unified Data Platform that collects, contextualizes, stores and presents industrial data. Its source landscape includes distributed control systems (DCS), safety systems, programmable logic controllers (PLCs), equipment monitoring and laboratory information. AVEVA PI and its Asset Framework provide important data and equipment context; analytics and reporting applications consume that context. These are documented design intentions, not a statement that every named interface is live. [P1]</w:t>
      </w:r>
    </w:p>
    <w:p>
      <w:r>
        <w:rPr>
          <w:b w:val="0"/>
        </w:rPr>
        <w:t>PLA, downtime analysis and root cause analysis (RCA) add a governed business explanation to the measurement history. A historian can show when throughput fell. PLA determines the affected product, applicable baseline, lost quantity and approved explanation. Downtime analysis studies the frequency, duration and pattern of interruptions. RCA tests why a selected problem occurred and whether action prevented recurrence. [A2]</w:t>
      </w:r>
    </w:p>
    <w:p>
      <w:pPr>
        <w:pStyle w:val="Heading2"/>
      </w:pPr>
      <w:r>
        <w:t>Follow the physical HDPE route</w:t>
      </w:r>
    </w:p>
    <w:p>
      <w:r>
        <w:rPr>
          <w:b w:val="0"/>
        </w:rPr>
        <w:t>The reviewed Marun process references describe polymerization, slurry handling, separation and drying, powder storage, extrusion and pellet finishing, pellet storage and bagging. Intermediate storage matters because a downstream line can continue consuming inventory after an upstream interruption. A motor running is not proof that good product crossed the accounting boundary. [P3, P4]</w:t>
      </w:r>
    </w:p>
    <w:p>
      <w:pPr>
        <w:spacing w:after="140"/>
      </w:pPr>
      <w:r>
        <w:drawing>
          <wp:inline xmlns:a="http://schemas.openxmlformats.org/drawingml/2006/main" xmlns:pic="http://schemas.openxmlformats.org/drawingml/2006/picture">
            <wp:extent cx="6126480" cy="1055116"/>
            <wp:docPr id="1" name="Picture 1" descr="HDPE material route from polymerization through finishing, storage and bagging, with the training measurement boundary at pellet outlet."/>
            <wp:cNvGraphicFramePr>
              <a:graphicFrameLocks noChangeAspect="1"/>
            </wp:cNvGraphicFramePr>
            <a:graphic>
              <a:graphicData uri="http://schemas.openxmlformats.org/drawingml/2006/picture">
                <pic:pic>
                  <pic:nvPicPr>
                    <pic:cNvPr id="0" name="process.png"/>
                    <pic:cNvPicPr/>
                  </pic:nvPicPr>
                  <pic:blipFill>
                    <a:blip r:embed="rId11"/>
                    <a:stretch>
                      <a:fillRect/>
                    </a:stretch>
                  </pic:blipFill>
                  <pic:spPr>
                    <a:xfrm>
                      <a:off x="0" y="0"/>
                      <a:ext cx="6126480" cy="1055116"/>
                    </a:xfrm>
                    <a:prstGeom prst="rect"/>
                  </pic:spPr>
                </pic:pic>
              </a:graphicData>
            </a:graphic>
          </wp:inline>
        </w:drawing>
      </w:r>
    </w:p>
    <w:p>
      <w:r>
        <w:rPr>
          <w:b w:val="0"/>
        </w:rPr>
        <w:t>The source review distinguishes parallel K1 and series BM reactor modes, normal and diverted finishing routes, and usable versus suspect inventory. It also flags unresolved equipment identity and tag-binding issues. Use current approved drawings and asset IDs when translating these functions into the application. [P4]</w:t>
      </w:r>
    </w:p>
    <w:p>
      <w:pPr>
        <w:pStyle w:val="Heading2"/>
      </w:pPr>
      <w:r>
        <w:t>Do not copy the demonstration hierarchy into the real plant</w:t>
      </w:r>
    </w:p>
    <w:p>
      <w:r>
        <w:rPr>
          <w:b w:val="0"/>
        </w:rPr>
        <w:t>The five manuals use unit100/Extruder1 and unit200/Extruder2 as synthetic application records. The HDPE process narrative uses Unit 100 for powder production and discusses actual finishing equipment separately. Those labels do not prove a one-to-one plant mapping. The single-extruder course uses a deliberately separate training hierarchy.</w:t>
      </w:r>
    </w:p>
    <w:p>
      <w:r>
        <w:rPr>
          <w:b w:val="0"/>
        </w:rPr>
        <w:t>The proposed Marun OpEx operating model places loss analysis, data governance and verification within a complex-wide improvement function, while plant Operations and Maintenance execute physical changes. Treat that document as an organizational design proposal requiring local ratification. [P2]</w:t>
      </w:r>
    </w:p>
    <w:p>
      <w:r>
        <w:br w:type="page"/>
      </w:r>
    </w:p>
    <w:p>
      <w:pPr>
        <w:pStyle w:val="Heading1"/>
      </w:pPr>
      <w:r>
        <w:t>2 The fundamentals of production loss accounting</w:t>
      </w:r>
    </w:p>
    <w:p>
      <w:r>
        <w:rPr>
          <w:b w:val="0"/>
        </w:rPr>
        <w:t>One tonne (t) is 1,000 kilograms; t/h means tonnes per hour. Production loss accounting, or PLA, is a structured explanation of the difference between an agreed production baseline and actual first-pass good production. It records quantity, time, cause, evidence, ownership and approval. Monetary valuation is an additional view; it does not replace the physical account.</w:t>
      </w:r>
    </w:p>
    <w:p>
      <w:r>
        <w:rPr>
          <w:b w:val="0"/>
        </w:rPr>
        <w:t>Downtime analysis asks when a function stopped, how long it remained unavailable, how often it failed and what caused the interruption. A line may lose production while still running. Conversely, a standby pump may fail without stopping production. Therefore downtime and production loss are related but are not interchangeable.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Term</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Meaning in this course</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Example</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Product</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The grade being produced</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HD5502 training grade</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Gross output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All measured output at the boundary</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192 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First-pass good</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Output meeting the intended specification without rework</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190 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Plan target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Approved quantity commitment for the period</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224 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Capacity</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Output possible at the approved sustained rate over the stated time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28 t/h × 8 h = 224 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Downtime</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Qualifying time the production function is stopped</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1 h</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Rate loss</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Output lost while the function is considered running</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4 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Quality loss</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Gross output that is not first-pass conforming</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2 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Residual</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Difference not yet explained by accepted accounting lines</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Initially 4 t in the plan ledger</w:t>
            </w:r>
          </w:p>
        </w:tc>
      </w:tr>
    </w:tbl>
    <w:p>
      <w:pPr>
        <w:spacing w:after="20"/>
      </w:pPr>
    </w:p>
    <w:p>
      <w:pPr>
        <w:pStyle w:val="Heading2"/>
      </w:pPr>
      <w:r>
        <w:t>Two questions require two ledgers</w:t>
      </w:r>
    </w:p>
    <w:p>
      <w:r>
        <w:rPr>
          <w:b w:val="0"/>
        </w:rPr>
        <w:t xml:space="preserve">The </w:t>
      </w:r>
      <w:r>
        <w:rPr>
          <w:b/>
        </w:rPr>
        <w:t>plan ledger</w:t>
      </w:r>
      <w:r>
        <w:rPr>
          <w:b w:val="0"/>
        </w:rPr>
        <w:t xml:space="preserve"> asks, “Why did good production differ from our approved target?” The </w:t>
      </w:r>
      <w:r>
        <w:rPr>
          <w:b/>
        </w:rPr>
        <w:t>capacity ledger</w:t>
      </w:r>
      <w:r>
        <w:rPr>
          <w:b w:val="0"/>
        </w:rPr>
        <w:t xml:space="preserve"> asks, “How did we use our approved capability?” They describe the same physical history from different baselines. Adding their losses would count the same production shortfall twice. [A2, A6]</w:t>
      </w:r>
    </w:p>
    <w:p>
      <w:r>
        <w:rPr>
          <w:b w:val="0"/>
        </w:rPr>
        <w:t>A reason such as “gearbox failure” explains an event. A root cause such as “the inspection process failed to detect progressive lubrication contamination” needs investigation and supporting evidence. A reason code is not proof of root cause.</w:t>
      </w:r>
    </w:p>
    <w:p>
      <w:r>
        <w:rPr>
          <w:b w:val="0"/>
        </w:rPr>
      </w:r>
      <w:r>
        <w:rPr>
          <w:b/>
        </w:rPr>
        <w:t>Checkpoint:</w:t>
      </w:r>
      <w:r>
        <w:rPr>
          <w:b w:val="0"/>
        </w:rPr>
        <w:t xml:space="preserve"> A packaging machine stops but the pellet silo continues filling. Did extrusion stop? You need the boundary and buffer evidence before answering.</w:t>
      </w:r>
    </w:p>
    <w:p>
      <w:r>
        <w:br w:type="page"/>
      </w:r>
    </w:p>
    <w:p>
      <w:pPr>
        <w:pStyle w:val="Heading1"/>
      </w:pPr>
      <w:r>
        <w:t>3 How the concepts are used internationally</w:t>
      </w:r>
    </w:p>
    <w:p>
      <w:r>
        <w:rPr>
          <w:b w:val="0"/>
        </w:rPr>
        <w:t>There is no single universal PLA screen layout, loss taxonomy or baseline policy. Plants must define their own accounting rules consistently and disclose them when comparing results. International references provide useful models for integration, KPI definitions and reliability data; they do not certify a particular application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Reference</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What it helps standardize</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How to use it here</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ISA 95 and IEC 62264</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Terminology and information exchange between enterprise and manufacturing functions</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Separate the production plan, operational execution and business reporting responsibilities. [W1]</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ISO 22400-2</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Definitions and descriptions of manufacturing operations KPIs</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Keep each KPI’s formula, units, time scope and denominator explicit. [W2]</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ISO 14224</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Collection and exchange of reliability and maintenance data in petroleum and petrochemical operations</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Use consistent equipment, failure and maintenance records for comparisons. [W3]</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OEE practice</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Availability, performance and first-pass quality as components of effectiveness</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Show the loss components as well as the headline percentage. [W4]</w:t>
            </w:r>
          </w:p>
        </w:tc>
      </w:tr>
    </w:tbl>
    <w:p>
      <w:pPr>
        <w:spacing w:after="20"/>
      </w:pPr>
    </w:p>
    <w:p>
      <w:r>
        <w:rPr>
          <w:b w:val="0"/>
        </w:rPr>
        <w:t>The following are teaching applications of those ideas, not claims about specific companies or worldwide adoption rates.</w:t>
      </w:r>
    </w:p>
    <w:p>
      <w:r>
        <w:rPr>
          <w:b w:val="0"/>
        </w:rPr>
        <w:t>A petrochemical plant may count tonnes of the intended grade, using a sustainable production rate and explicit inventory boundaries. A discrete assembly line may count acceptable units using an ideal cycle time. A batch plant must define whether a batch belongs to its start, completion or allocated production window. A parallel process needs capacity and stream rules before combining quantities.</w:t>
      </w:r>
    </w:p>
    <w:p>
      <w:pPr>
        <w:pStyle w:val="Heading2"/>
      </w:pPr>
      <w:r>
        <w:t>What must be comparable</w:t>
      </w:r>
    </w:p>
    <w:p>
      <w:r>
        <w:rPr>
          <w:b w:val="0"/>
        </w:rPr>
        <w:t>Before comparing plants, align the product basis, measurement boundary, rate basis, planned production time, exclusion rules, quality definition, source coverage and approval state. A low-demand site can meet its sales plan while leaving substantial capacity unused. That does not make its equipment more effective than a fully loaded site.</w:t>
      </w:r>
    </w:p>
    <w:p>
      <w:r>
        <w:rPr>
          <w:b w:val="0"/>
        </w:rPr>
        <w:t>This course uses approved sustained capability for capacity accounting and the documented Traverse Forge OEE calculations. That is a local implementation choice explained in the manuals. Do not silently substitute nameplate capacity, budget, sales target or a generic “world class” percentage.</w:t>
      </w:r>
    </w:p>
    <w:p>
      <w:r>
        <w:rPr>
          <w:b w:val="0"/>
        </w:rPr>
      </w:r>
      <w:r>
        <w:rPr>
          <w:b/>
        </w:rPr>
        <w:t>Checkpoint:</w:t>
      </w:r>
      <w:r>
        <w:rPr>
          <w:b w:val="0"/>
        </w:rPr>
        <w:t xml:space="preserve"> Two sites report 90% OEE. One excludes planned maintenance and the other includes it. Can you rank them? Not until you align their policies and denominators.</w:t>
      </w:r>
    </w:p>
    <w:p>
      <w:r>
        <w:br w:type="page"/>
      </w:r>
    </w:p>
    <w:p>
      <w:pPr>
        <w:pStyle w:val="Heading1"/>
      </w:pPr>
      <w:r>
        <w:t>4 Start with a plant accounting charter</w:t>
      </w:r>
    </w:p>
    <w:p>
      <w:r>
        <w:rPr>
          <w:b w:val="0"/>
        </w:rPr>
        <w:t>Before creating records, the plant team should write a short accounting charter. It defines what the numbers mean and prevents departments from producing incompatible versions of the same shift. The charter is a recommended implementation practice, not a new mandatory screen in the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Decision</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Teaching choice</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Site owner to confirm</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Accounting unit</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One extruder production function</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Production manager</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Quantity boundary</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Pellet output at extruder outlet</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Production and metrology</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Quantity basis</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Tonnes of gross and first-pass good output</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Production accounting and quality</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Operational day</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06:00 to next day 06:00, Asia/Tehran</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Operations</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Capacity reference</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Approved sustained rate by grade and mode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Process engineering and manager</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Plan reference</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One approved baseline scenario and version</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Planning and manager</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Loss policies</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Stop threshold, overlaps, transitions and exclusions</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Operations and accounting</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Financial basis</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Contribution margin and separately defined economic view</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Finance</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Approval workflow</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Named authors and independent ordinary-user reviewers</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Plant management</w:t>
            </w:r>
          </w:p>
        </w:tc>
      </w:tr>
    </w:tbl>
    <w:p>
      <w:pPr>
        <w:spacing w:after="20"/>
      </w:pPr>
    </w:p>
    <w:p>
      <w:pPr>
        <w:pStyle w:val="Heading2"/>
      </w:pPr>
      <w:r>
        <w:t>Collect the source pack</w:t>
      </w:r>
    </w:p>
    <w:p>
      <w:r>
        <w:rPr>
          <w:b w:val="0"/>
        </w:rPr>
        <w:t>Obtain the asset register and current process drawings; product and grade specifications; production calendar; approved production rates; monthly targets and grade campaigns; signal list and measurement certificates; laboratory disposition rules; reason and failure dictionaries; maintenance repair records; and approved valuation inputs.</w:t>
      </w:r>
    </w:p>
    <w:p>
      <w:r>
        <w:rPr>
          <w:b w:val="0"/>
        </w:rPr>
        <w:t>Record the source, owner, effective date and approval evidence for each item. “To be confirmed” is a valid setup status. An arbitrary number entered to remove a warning can corrupt every downstream report.</w:t>
      </w:r>
    </w:p>
    <w:p>
      <w:pPr>
        <w:pStyle w:val="Heading2"/>
      </w:pPr>
      <w:r>
        <w:t>Commission in dependency order</w:t>
      </w:r>
    </w:p>
    <w:p>
      <w:r>
        <w:rPr>
          <w:b w:val="0"/>
        </w:rPr>
        <w:t>Create hierarchy and plant-owned products, then codes and calendars. Approve production profiles and separate rates. Configure measurements, source authority and state mapping. Generate the plan periods and approve the plan version. Verify actuals and event coding, then reconcile and approve a complete shift. Only then test day certification, month close and RCA. [A3]</w:t>
      </w:r>
    </w:p>
    <w:p>
      <w:r>
        <w:rPr>
          <w:b w:val="0"/>
        </w:rPr>
        <w:t>A new plant in a working installation starts with its own scope and configuration. It does not require deleting existing organizations or running demonstration seeders.</w:t>
      </w:r>
    </w:p>
    <w:p>
      <w:r>
        <w:rPr>
          <w:b w:val="0"/>
        </w:rPr>
      </w:r>
      <w:r>
        <w:rPr>
          <w:b/>
        </w:rPr>
        <w:t>Deliverable for the student:</w:t>
      </w:r>
      <w:r>
        <w:rPr>
          <w:b w:val="0"/>
        </w:rPr>
        <w:t xml:space="preserve"> a signed-off list of the decisions above, with unresolved items clearly identified. You should be able to explain why each is needed before opening a dashboard.</w:t>
      </w:r>
    </w:p>
    <w:p>
      <w:r>
        <w:br w:type="page"/>
      </w:r>
    </w:p>
    <w:p>
      <w:pPr>
        <w:pStyle w:val="Heading1"/>
      </w:pPr>
      <w:r>
        <w:t>5 Define the hierarchy and product catalogue</w:t>
      </w:r>
    </w:p>
    <w:p>
      <w:r>
        <w:rPr>
          <w:b w:val="0"/>
        </w:rPr>
        <w:t>Use the following isolated course model. All codes in this table are training identifiers; they are not verified Marun production asset IDs.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Record</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Code and name</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Why it exists</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Organization</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MPC-TRAIN / Marun learning organization</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Owns the training plant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Plant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HDPE-TRAIN / HDPE training plant</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Sets scope and time zone</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Unit</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Extruder1 / HDPE Extruder 1</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Owns the production account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Asset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EXT1-Main / Main drive and gearbox</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Identifies the equipment involved</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Product</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HD5502 / HDPE training grade A</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Identifies the planned and measured grade</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Additional product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TRAIN-B / HDPE training grade B</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Used only in the grade-change extension</w:t>
            </w:r>
          </w:p>
        </w:tc>
      </w:tr>
    </w:tbl>
    <w:p>
      <w:pPr>
        <w:spacing w:after="20"/>
      </w:pPr>
    </w:p>
    <w:p>
      <w:r>
        <w:rPr>
          <w:b w:val="0"/>
        </w:rPr>
        <w:t xml:space="preserve">In Master data, create the unit and assign its assets. On the product form, select </w:t>
      </w:r>
      <w:r>
        <w:rPr>
          <w:b/>
        </w:rPr>
        <w:t>This plant only</w:t>
      </w:r>
      <w:r>
        <w:rPr>
          <w:b w:val="0"/>
        </w:rPr>
        <w:t>. The manuals state that organization-wide visibility alone does not make a product eligible for a plant production profile or plan, and product availability cannot be changed after creation. Leave the legacy unit capacity and unconfirmed product standard-cost fields out of the accounting basis. [A1, A2, A6]</w:t>
      </w:r>
    </w:p>
    <w:p>
      <w:pPr>
        <w:pStyle w:val="Heading2"/>
      </w:pPr>
      <w:r>
        <w:t>Connect the catalogue to real products</w:t>
      </w:r>
    </w:p>
    <w:p>
      <w:r>
        <w:rPr>
          <w:b w:val="0"/>
        </w:rPr>
        <w:t>The reviewed HDPE training source lists grades including HC 7260 and HD7255 for injection moulding, HF 4750 for small blow-moulded articles, HM5010 T2N for pipe and HM9450 F1 for film. These are examples from a historical training reference, not a verified current Marun sales catalogue. Grade aliases, current specifications and active status need site confirmation. [P3]</w:t>
      </w:r>
    </w:p>
    <w:p>
      <w:r>
        <w:rPr>
          <w:b w:val="0"/>
        </w:rPr>
        <w:t>A useful product register also records intended application, base unit, specification reference, quality-release owner, permitted production units, operating mode and effective dates. Some of these belong in approved supporting records or configured attributes; do not assume every item has a native field on the product screen.</w:t>
      </w:r>
    </w:p>
    <w:p>
      <w:r>
        <w:rPr>
          <w:b w:val="0"/>
        </w:rPr>
        <w:t>The course retains HD5502 from the supplied end-to-end procedure so its arithmetic is reproducible. The grade name does not establish a real grade-specific rate or commercial specification.</w:t>
      </w:r>
    </w:p>
    <w:p>
      <w:r>
        <w:rPr>
          <w:b w:val="0"/>
        </w:rPr>
      </w:r>
      <w:r>
        <w:rPr>
          <w:b/>
        </w:rPr>
        <w:t>Checkpoint:</w:t>
      </w:r>
      <w:r>
        <w:rPr>
          <w:b w:val="0"/>
        </w:rPr>
        <w:t xml:space="preserve"> An asset is a piece of equipment. A unit is the boundary whose production is accounted for. One equipment failure can affect several units, or none, depending on the actual process arrangement.</w:t>
      </w:r>
    </w:p>
    <w:p>
      <w:r>
        <w:br w:type="page"/>
      </w:r>
    </w:p>
    <w:p>
      <w:pPr>
        <w:pStyle w:val="Heading1"/>
      </w:pPr>
      <w:r>
        <w:t>6 Establish the production rate for each grade</w:t>
      </w:r>
    </w:p>
    <w:p>
      <w:r>
        <w:rPr>
          <w:b w:val="0"/>
        </w:rPr>
        <w:t>A rate is a quantity per unit of time. The unit of measure and timebase are inseparable: 28 t/h equals 28,000 kg/h, not 28 kg/h. Rates also depend on the product, operating mode and effective period.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Rate type</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Meaning</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Course treatment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Nameplate</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Design or manufacturer reference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Useful context, not the capacity denominator</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Demonstrated</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Capability demonstrated under stated conditions</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Evidence supporting rate review</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Sustained</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Approved maintainable capability</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Grade A 28 t/h; Grade B 24 t/h</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Planning</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Rate used to shape the production plan</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Baseline equals sustained; variants may differ</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Budget or forecast</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Longer-term financial or expected planning reference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Keep separate from operating capability</w:t>
            </w:r>
          </w:p>
        </w:tc>
      </w:tr>
    </w:tbl>
    <w:p>
      <w:pPr>
        <w:spacing w:after="20"/>
      </w:pPr>
    </w:p>
    <w:p>
      <w:r>
        <w:rPr>
          <w:b w:val="0"/>
        </w:rPr>
        <w:t>The Grade A values come from the supplied synthetic example. Grade B at 24 t/h is an additional teaching assumption. None is an approved Marun operating rate.</w:t>
      </w:r>
    </w:p>
    <w:p>
      <w:pPr>
        <w:pStyle w:val="Heading2"/>
      </w:pPr>
      <w:r>
        <w:t>Configure the application</w:t>
      </w:r>
    </w:p>
    <w:p>
      <w:r>
        <w:rPr>
          <w:b w:val="0"/>
        </w:rPr>
        <w:t xml:space="preserve">Create a profile for the unit, product, operating mode </w:t>
      </w:r>
      <w:r>
        <w:rPr>
          <w:b/>
        </w:rPr>
        <w:t>normal</w:t>
      </w:r>
      <w:r>
        <w:rPr>
          <w:b w:val="0"/>
        </w:rPr>
        <w:t xml:space="preserve">, quantity unit </w:t>
      </w:r>
      <w:r>
        <w:rPr>
          <w:b/>
        </w:rPr>
        <w:t>t</w:t>
      </w:r>
      <w:r>
        <w:rPr>
          <w:b w:val="0"/>
        </w:rPr>
        <w:t xml:space="preserve">, timebase </w:t>
      </w:r>
      <w:r>
        <w:rPr>
          <w:b/>
        </w:rPr>
        <w:t>per hour</w:t>
      </w:r>
      <w:r>
        <w:rPr>
          <w:b w:val="0"/>
        </w:rPr>
        <w:t xml:space="preserve"> and capacity model </w:t>
      </w:r>
      <w:r>
        <w:rPr>
          <w:b/>
        </w:rPr>
        <w:t>Single stream</w:t>
      </w:r>
      <w:r>
        <w:rPr>
          <w:b w:val="0"/>
        </w:rPr>
        <w:t xml:space="preserve">. Save and approve the profile. Then add and approve separate </w:t>
      </w:r>
      <w:r>
        <w:rPr>
          <w:b/>
        </w:rPr>
        <w:t>Sustained</w:t>
      </w:r>
      <w:r>
        <w:rPr>
          <w:b w:val="0"/>
        </w:rPr>
        <w:t xml:space="preserve"> and </w:t>
      </w:r>
      <w:r>
        <w:rPr>
          <w:b/>
        </w:rPr>
        <w:t>Planning</w:t>
      </w:r>
      <w:r>
        <w:rPr>
          <w:b w:val="0"/>
        </w:rPr>
        <w:t xml:space="preserve"> rate versions. Profile approval alone does not approve its numeric rates. [A6 sections 7 and 8]</w:t>
      </w:r>
    </w:p>
    <w:p>
      <w:r>
        <w:rPr>
          <w:b w:val="0"/>
        </w:rPr>
        <w:t>Set effective dates to cover the whole teaching window. A rate that starts halfway through a shift requires segmentation. Overlapping approved versions must be resolved through the supported version or supersession workflow. A new rate must not silently rewrite approved historical periods.</w:t>
      </w:r>
    </w:p>
    <w:p>
      <w:pPr>
        <w:pStyle w:val="Heading2"/>
      </w:pPr>
      <w:r>
        <w:t>Why the grade matters</w:t>
      </w:r>
    </w:p>
    <w:p>
      <w:r>
        <w:rPr>
          <w:b w:val="0"/>
        </w:rPr>
        <w:t>Eight scheduled hours of Grade A at 28 t/h give 224 t of capability. Eight hours of Grade B at 24 t/h give 192 t. Reporting both against 224 t would create 32 t of artificial loss for Grade B before any real event occurs.</w:t>
      </w:r>
    </w:p>
    <w:p>
      <w:r>
        <w:rPr>
          <w:b w:val="0"/>
        </w:rPr>
        <w:t>A one-hour stop costs 28 t of capacity in Grade A and 24 t in Grade B. Duration alone cannot determine lost quantity across different grades.</w:t>
      </w:r>
    </w:p>
    <w:p>
      <w:r>
        <w:rPr>
          <w:b w:val="0"/>
        </w:rPr>
      </w:r>
      <w:r>
        <w:rPr>
          <w:b/>
        </w:rPr>
        <w:t>Checkpoint:</w:t>
      </w:r>
      <w:r>
        <w:rPr>
          <w:b w:val="0"/>
        </w:rPr>
        <w:t xml:space="preserve"> Engineering approves a new Grade A sustained rate of 29 t/h from 14:00. The morning shift still uses 28 t/h. Preserve the old rate and its effective interval.</w:t>
      </w:r>
    </w:p>
    <w:p>
      <w:r>
        <w:br w:type="page"/>
      </w:r>
    </w:p>
    <w:p>
      <w:pPr>
        <w:pStyle w:val="Heading1"/>
      </w:pPr>
      <w:r>
        <w:t>7 Publish the calendar and production plan</w:t>
      </w:r>
    </w:p>
    <w:p>
      <w:r>
        <w:rPr>
          <w:b w:val="0"/>
        </w:rPr>
        <w:t xml:space="preserve">The training production day is </w:t>
      </w:r>
      <w:r>
        <w:rPr>
          <w:b/>
        </w:rPr>
        <w:t>2 November 2026 at 06:00 to 3 November 2026 at 06:00</w:t>
      </w:r>
      <w:r>
        <w:rPr>
          <w:b w:val="0"/>
        </w:rPr>
        <w:t>, in Asia/Tehran. The date extends the supplied 17 October example for teaching. For a live lab, choose a suitable date and move all approvals, rate windows, plan slices, observations and laboratory dates together.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736"/>
        <w:gridCol w:w="4248"/>
        <w:gridCol w:w="2059"/>
      </w:tblGrid>
      <w:tr>
        <w:trPr>
          <w:cantSplit/>
          <w:tblHeader/>
        </w:trPr>
        <w:tc>
          <w:tcPr>
            <w:tcW w:type="dxa" w:w="792"/>
            <w:vAlign w:val="center"/>
            <w:tcMar>
              <w:top w:w="75" w:type="dxa"/>
              <w:left w:w="75" w:type="dxa"/>
              <w:bottom w:w="75" w:type="dxa"/>
              <w:right w:w="75" w:type="dxa"/>
            </w:tcMar>
            <w:shd w:fill="173B57"/>
          </w:tcPr>
          <w:p>
            <w:pPr>
              <w:spacing w:after="0" w:before="0" w:line="252" w:lineRule="auto"/>
              <w:jc w:val="center"/>
            </w:pPr>
            <w:r>
              <w:rPr>
                <w:b/>
                <w:color w:val="FFFFFF"/>
                <w:sz w:val="18"/>
              </w:rPr>
              <w:t>Shift</w:t>
            </w:r>
          </w:p>
        </w:tc>
        <w:tc>
          <w:tcPr>
            <w:tcW w:type="dxa" w:w="2736"/>
            <w:vAlign w:val="center"/>
            <w:tcMar>
              <w:top w:w="75" w:type="dxa"/>
              <w:left w:w="75" w:type="dxa"/>
              <w:bottom w:w="75" w:type="dxa"/>
              <w:right w:w="75" w:type="dxa"/>
            </w:tcMar>
            <w:shd w:fill="173B57"/>
          </w:tcPr>
          <w:p>
            <w:pPr>
              <w:spacing w:after="0" w:before="0" w:line="252" w:lineRule="auto"/>
              <w:jc w:val="center"/>
            </w:pPr>
            <w:r>
              <w:rPr>
                <w:b/>
                <w:color w:val="FFFFFF"/>
                <w:sz w:val="18"/>
              </w:rPr>
              <w:t>Plant-local time</w:t>
            </w:r>
          </w:p>
        </w:tc>
        <w:tc>
          <w:tcPr>
            <w:tcW w:type="dxa" w:w="4248"/>
            <w:vAlign w:val="center"/>
            <w:tcMar>
              <w:top w:w="75" w:type="dxa"/>
              <w:left w:w="75" w:type="dxa"/>
              <w:bottom w:w="75" w:type="dxa"/>
              <w:right w:w="75" w:type="dxa"/>
            </w:tcMar>
            <w:shd w:fill="173B57"/>
          </w:tcPr>
          <w:p>
            <w:pPr>
              <w:spacing w:after="0" w:before="0" w:line="252" w:lineRule="auto"/>
              <w:jc w:val="center"/>
            </w:pPr>
            <w:r>
              <w:rPr>
                <w:b/>
                <w:color w:val="FFFFFF"/>
                <w:sz w:val="18"/>
              </w:rPr>
              <w:t>UTC interval</w:t>
            </w:r>
          </w:p>
        </w:tc>
        <w:tc>
          <w:tcPr>
            <w:tcW w:type="dxa" w:w="2059"/>
            <w:vAlign w:val="center"/>
            <w:tcMar>
              <w:top w:w="75" w:type="dxa"/>
              <w:left w:w="75" w:type="dxa"/>
              <w:bottom w:w="75" w:type="dxa"/>
              <w:right w:w="75" w:type="dxa"/>
            </w:tcMar>
            <w:shd w:fill="173B57"/>
          </w:tcPr>
          <w:p>
            <w:pPr>
              <w:spacing w:after="0" w:before="0" w:line="252" w:lineRule="auto"/>
              <w:jc w:val="center"/>
            </w:pPr>
            <w:r>
              <w:rPr>
                <w:b/>
                <w:color w:val="FFFFFF"/>
                <w:sz w:val="18"/>
              </w:rPr>
              <w:t>Grade A target</w:t>
            </w:r>
          </w:p>
        </w:tc>
      </w:tr>
      <w:tr>
        <w:trPr>
          <w:cantSplit/>
        </w:trPr>
        <w:tc>
          <w:tcPr>
            <w:tcW w:type="dxa" w:w="792"/>
            <w:vAlign w:val="center"/>
            <w:tcMar>
              <w:top w:w="75" w:type="dxa"/>
              <w:left w:w="75" w:type="dxa"/>
              <w:bottom w:w="75" w:type="dxa"/>
              <w:right w:w="75" w:type="dxa"/>
            </w:tcMar>
            <w:shd w:fill="F1F5F7"/>
          </w:tcPr>
          <w:p>
            <w:pPr>
              <w:spacing w:after="0" w:before="0" w:line="252" w:lineRule="auto"/>
            </w:pPr>
            <w:r>
              <w:rPr>
                <w:b w:val="0"/>
                <w:color w:val="000000"/>
                <w:sz w:val="18"/>
              </w:rPr>
              <w:t>A</w:t>
            </w:r>
          </w:p>
        </w:tc>
        <w:tc>
          <w:tcPr>
            <w:tcW w:type="dxa" w:w="2736"/>
            <w:vAlign w:val="center"/>
            <w:tcMar>
              <w:top w:w="75" w:type="dxa"/>
              <w:left w:w="75" w:type="dxa"/>
              <w:bottom w:w="75" w:type="dxa"/>
              <w:right w:w="75" w:type="dxa"/>
            </w:tcMar>
            <w:shd w:fill="F1F5F7"/>
          </w:tcPr>
          <w:p>
            <w:pPr>
              <w:spacing w:after="0" w:before="0" w:line="252" w:lineRule="auto"/>
            </w:pPr>
            <w:r>
              <w:rPr>
                <w:b w:val="0"/>
                <w:color w:val="000000"/>
                <w:sz w:val="18"/>
              </w:rPr>
              <w:t>06:00 to 14:00</w:t>
            </w:r>
          </w:p>
        </w:tc>
        <w:tc>
          <w:tcPr>
            <w:tcW w:type="dxa" w:w="4248"/>
            <w:vAlign w:val="center"/>
            <w:tcMar>
              <w:top w:w="75" w:type="dxa"/>
              <w:left w:w="75" w:type="dxa"/>
              <w:bottom w:w="75" w:type="dxa"/>
              <w:right w:w="75" w:type="dxa"/>
            </w:tcMar>
            <w:shd w:fill="F1F5F7"/>
          </w:tcPr>
          <w:p>
            <w:pPr>
              <w:spacing w:after="0" w:before="0" w:line="252" w:lineRule="auto"/>
            </w:pPr>
            <w:r>
              <w:rPr>
                <w:b w:val="0"/>
                <w:color w:val="000000"/>
                <w:sz w:val="18"/>
              </w:rPr>
              <w:t>02:30Z to 10:30Z on 2 Nov</w:t>
            </w:r>
          </w:p>
        </w:tc>
        <w:tc>
          <w:tcPr>
            <w:tcW w:type="dxa" w:w="2059"/>
            <w:vAlign w:val="center"/>
            <w:tcMar>
              <w:top w:w="75" w:type="dxa"/>
              <w:left w:w="75" w:type="dxa"/>
              <w:bottom w:w="75" w:type="dxa"/>
              <w:right w:w="75" w:type="dxa"/>
            </w:tcMar>
            <w:shd w:fill="F1F5F7"/>
          </w:tcPr>
          <w:p>
            <w:pPr>
              <w:spacing w:after="0" w:before="0" w:line="252" w:lineRule="auto"/>
              <w:jc w:val="center"/>
            </w:pPr>
            <w:r>
              <w:rPr>
                <w:b w:val="0"/>
                <w:color w:val="000000"/>
                <w:sz w:val="18"/>
              </w:rPr>
              <w:t>224 t</w:t>
            </w:r>
          </w:p>
        </w:tc>
      </w:tr>
      <w:tr>
        <w:trPr>
          <w:cantSplit/>
        </w:trPr>
        <w:tc>
          <w:tcPr>
            <w:tcW w:type="dxa" w:w="792"/>
            <w:vAlign w:val="center"/>
            <w:tcMar>
              <w:top w:w="75" w:type="dxa"/>
              <w:left w:w="75" w:type="dxa"/>
              <w:bottom w:w="75" w:type="dxa"/>
              <w:right w:w="75" w:type="dxa"/>
            </w:tcMar>
            <w:shd w:fill="FFFFFF"/>
          </w:tcPr>
          <w:p>
            <w:pPr>
              <w:spacing w:after="0" w:before="0" w:line="252" w:lineRule="auto"/>
            </w:pPr>
            <w:r>
              <w:rPr>
                <w:b w:val="0"/>
                <w:color w:val="000000"/>
                <w:sz w:val="18"/>
              </w:rPr>
              <w:t>B</w:t>
            </w:r>
          </w:p>
        </w:tc>
        <w:tc>
          <w:tcPr>
            <w:tcW w:type="dxa" w:w="2736"/>
            <w:vAlign w:val="center"/>
            <w:tcMar>
              <w:top w:w="75" w:type="dxa"/>
              <w:left w:w="75" w:type="dxa"/>
              <w:bottom w:w="75" w:type="dxa"/>
              <w:right w:w="75" w:type="dxa"/>
            </w:tcMar>
            <w:shd w:fill="FFFFFF"/>
          </w:tcPr>
          <w:p>
            <w:pPr>
              <w:spacing w:after="0" w:before="0" w:line="252" w:lineRule="auto"/>
            </w:pPr>
            <w:r>
              <w:rPr>
                <w:b w:val="0"/>
                <w:color w:val="000000"/>
                <w:sz w:val="18"/>
              </w:rPr>
              <w:t>14:00 to 22:00</w:t>
            </w:r>
          </w:p>
        </w:tc>
        <w:tc>
          <w:tcPr>
            <w:tcW w:type="dxa" w:w="4248"/>
            <w:vAlign w:val="center"/>
            <w:tcMar>
              <w:top w:w="75" w:type="dxa"/>
              <w:left w:w="75" w:type="dxa"/>
              <w:bottom w:w="75" w:type="dxa"/>
              <w:right w:w="75" w:type="dxa"/>
            </w:tcMar>
            <w:shd w:fill="FFFFFF"/>
          </w:tcPr>
          <w:p>
            <w:pPr>
              <w:spacing w:after="0" w:before="0" w:line="252" w:lineRule="auto"/>
            </w:pPr>
            <w:r>
              <w:rPr>
                <w:b w:val="0"/>
                <w:color w:val="000000"/>
                <w:sz w:val="18"/>
              </w:rPr>
              <w:t>10:30Z to 18:30Z on 2 Nov</w:t>
            </w:r>
          </w:p>
        </w:tc>
        <w:tc>
          <w:tcPr>
            <w:tcW w:type="dxa" w:w="2059"/>
            <w:vAlign w:val="center"/>
            <w:tcMar>
              <w:top w:w="75" w:type="dxa"/>
              <w:left w:w="75" w:type="dxa"/>
              <w:bottom w:w="75" w:type="dxa"/>
              <w:right w:w="75" w:type="dxa"/>
            </w:tcMar>
            <w:shd w:fill="FFFFFF"/>
          </w:tcPr>
          <w:p>
            <w:pPr>
              <w:spacing w:after="0" w:before="0" w:line="252" w:lineRule="auto"/>
              <w:jc w:val="center"/>
            </w:pPr>
            <w:r>
              <w:rPr>
                <w:b w:val="0"/>
                <w:color w:val="000000"/>
                <w:sz w:val="18"/>
              </w:rPr>
              <w:t>224 t</w:t>
            </w:r>
          </w:p>
        </w:tc>
      </w:tr>
      <w:tr>
        <w:trPr>
          <w:cantSplit/>
        </w:trPr>
        <w:tc>
          <w:tcPr>
            <w:tcW w:type="dxa" w:w="792"/>
            <w:vAlign w:val="center"/>
            <w:tcMar>
              <w:top w:w="75" w:type="dxa"/>
              <w:left w:w="75" w:type="dxa"/>
              <w:bottom w:w="75" w:type="dxa"/>
              <w:right w:w="75" w:type="dxa"/>
            </w:tcMar>
            <w:shd w:fill="F1F5F7"/>
          </w:tcPr>
          <w:p>
            <w:pPr>
              <w:spacing w:after="0" w:before="0" w:line="252" w:lineRule="auto"/>
            </w:pPr>
            <w:r>
              <w:rPr>
                <w:b w:val="0"/>
                <w:color w:val="000000"/>
                <w:sz w:val="18"/>
              </w:rPr>
              <w:t>C</w:t>
            </w:r>
          </w:p>
        </w:tc>
        <w:tc>
          <w:tcPr>
            <w:tcW w:type="dxa" w:w="2736"/>
            <w:vAlign w:val="center"/>
            <w:tcMar>
              <w:top w:w="75" w:type="dxa"/>
              <w:left w:w="75" w:type="dxa"/>
              <w:bottom w:w="75" w:type="dxa"/>
              <w:right w:w="75" w:type="dxa"/>
            </w:tcMar>
            <w:shd w:fill="F1F5F7"/>
          </w:tcPr>
          <w:p>
            <w:pPr>
              <w:spacing w:after="0" w:before="0" w:line="252" w:lineRule="auto"/>
            </w:pPr>
            <w:r>
              <w:rPr>
                <w:b w:val="0"/>
                <w:color w:val="000000"/>
                <w:sz w:val="18"/>
              </w:rPr>
              <w:t>22:00 to 06:00 next day</w:t>
            </w:r>
          </w:p>
        </w:tc>
        <w:tc>
          <w:tcPr>
            <w:tcW w:type="dxa" w:w="4248"/>
            <w:vAlign w:val="center"/>
            <w:tcMar>
              <w:top w:w="75" w:type="dxa"/>
              <w:left w:w="75" w:type="dxa"/>
              <w:bottom w:w="75" w:type="dxa"/>
              <w:right w:w="75" w:type="dxa"/>
            </w:tcMar>
            <w:shd w:fill="F1F5F7"/>
          </w:tcPr>
          <w:p>
            <w:pPr>
              <w:spacing w:after="0" w:before="0" w:line="252" w:lineRule="auto"/>
            </w:pPr>
            <w:r>
              <w:rPr>
                <w:b w:val="0"/>
                <w:color w:val="000000"/>
                <w:sz w:val="18"/>
              </w:rPr>
              <w:t>18:30Z on 2 Nov to 02:30Z on 3 Nov</w:t>
            </w:r>
          </w:p>
        </w:tc>
        <w:tc>
          <w:tcPr>
            <w:tcW w:type="dxa" w:w="2059"/>
            <w:vAlign w:val="center"/>
            <w:tcMar>
              <w:top w:w="75" w:type="dxa"/>
              <w:left w:w="75" w:type="dxa"/>
              <w:bottom w:w="75" w:type="dxa"/>
              <w:right w:w="75" w:type="dxa"/>
            </w:tcMar>
            <w:shd w:fill="F1F5F7"/>
          </w:tcPr>
          <w:p>
            <w:pPr>
              <w:spacing w:after="0" w:before="0" w:line="252" w:lineRule="auto"/>
              <w:jc w:val="center"/>
            </w:pPr>
            <w:r>
              <w:rPr>
                <w:b w:val="0"/>
                <w:color w:val="000000"/>
                <w:sz w:val="18"/>
              </w:rPr>
              <w:t>224 t</w:t>
            </w:r>
          </w:p>
        </w:tc>
      </w:tr>
    </w:tbl>
    <w:p>
      <w:pPr>
        <w:spacing w:after="20"/>
      </w:pPr>
    </w:p>
    <w:p>
      <w:r>
        <w:rPr>
          <w:b w:val="0"/>
        </w:rPr>
        <w:t>The baseline day has 24 scheduled hours, no exclusions, one grade and a 672 t target. Configure the calendar’s day start and shifts, preview the overnight boundary, save and publish. Assign crews separately; a crew rotation does not change the number of scheduled production hours. [A3, A6]</w:t>
      </w:r>
    </w:p>
    <w:p>
      <w:pPr>
        <w:pStyle w:val="Heading2"/>
      </w:pPr>
      <w:r>
        <w:t>Move from business demand to executable periods</w:t>
      </w:r>
    </w:p>
    <w:p>
      <w:r>
        <w:rPr>
          <w:b w:val="0"/>
        </w:rPr>
        <w:t>Planning first considers customer demand, inventory, raw materials, unit capability, maintenance and grade sequencing. It then creates a feasible campaign and target. Enter the plan for the unit and baseline scenario, add product slices, generate or preview the shift periods, submit and approve the version using the documented workflow.</w:t>
      </w:r>
    </w:p>
    <w:p>
      <w:r>
        <w:rPr>
          <w:b w:val="0"/>
        </w:rPr>
        <w:t>The application distributes a target over eligible scheduled time using approved rates. The baseline’s three equal shifts receive 224 t each. A positive target with no eligible time is refused; a missing rate is a setup issue rather than a reason to invent a distribution. [A2]</w:t>
      </w:r>
    </w:p>
    <w:p>
      <w:pPr>
        <w:pStyle w:val="Heading2"/>
      </w:pPr>
      <w:r>
        <w:t>A monthly illustration</w:t>
      </w:r>
    </w:p>
    <w:p>
      <w:r>
        <w:rPr>
          <w:b w:val="0"/>
        </w:rPr>
        <w:t>Thirty full Grade A days would provide 30 × 672 = 20,160 t. If one complete day is excluded for turnaround before the plan is approved, the remaining 29 days provide 19,488 t at the same rate. This is a planning illustration, not Marun’s November production plan. Actual grade campaigns, transitions, demand and maintenance must be applied before committing the target.</w:t>
      </w:r>
    </w:p>
    <w:p>
      <w:r>
        <w:rPr>
          <w:b w:val="0"/>
        </w:rPr>
        <w:t>Keep the original approved plan. A later forecast can help operations recover, but replacing the original target with actual production would conceal the original variance.</w:t>
      </w:r>
    </w:p>
    <w:p>
      <w:r>
        <w:br w:type="page"/>
      </w:r>
    </w:p>
    <w:p>
      <w:pPr>
        <w:pStyle w:val="Heading1"/>
      </w:pPr>
      <w:r>
        <w:t>8 Build the reason and failure dictionaries</w:t>
      </w:r>
    </w:p>
    <w:p>
      <w:r>
        <w:rPr>
          <w:b w:val="0"/>
        </w:rPr>
        <w:t>Good coding separates what happened from why it happened, which function was affected and how it changed production. One dropdown cannot represent all these concepts.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Classification</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Question</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Gearbox example</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Event type</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What physical event occurred?</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Downtime</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Schedule class</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Was it planned, unplanned, external or unknown?</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Unplanned</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Production impact</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Full stop, fractional reduction or none?</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Full stop</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OEE component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Which production component is affected?</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Availability</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Reason</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What operational explanation is supported?</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MECH-GEARBOX</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Origin</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Where did the initiating problem occur?</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EXT1-Main in Extruder1</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Failure detail</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What failed and how was it detected?</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Gearbox function lost; trip evidence</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Root cause</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Why did the failure develop?</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Undetermined until RCA</w:t>
            </w:r>
          </w:p>
        </w:tc>
      </w:tr>
    </w:tbl>
    <w:p>
      <w:pPr>
        <w:spacing w:after="20"/>
      </w:pPr>
    </w:p>
    <w:p>
      <w:r>
        <w:rPr>
          <w:b w:val="0"/>
        </w:rPr>
        <w:t>Create example reason codes MECH-GEARBOX, ELEC-TRIP, FEED-STARVED, SPEED-LOSS, GRADE-CHANGE and QUALITY-DOWNGRADE. These are course codes, not a prescribed global taxonomy. Set defaults carefully and verify them against the actual event. FEED-STARVED may be external to the extruder but internal to the wider complex.</w:t>
      </w:r>
    </w:p>
    <w:p>
      <w:r>
        <w:rPr>
          <w:b w:val="0"/>
        </w:rPr>
        <w:t>Use a hierarchy such as Mechanical → Drive train → Gearbox so reports can roll up detail without losing it. Record “unknown” or “investigation pending” honestly when evidence is incomplete. A broad reason such as “operations” provides little direction for improvement.</w:t>
      </w:r>
    </w:p>
    <w:p>
      <w:r>
        <w:rPr>
          <w:b w:val="0"/>
        </w:rPr>
        <w:t>The failure dictionary separately describes equipment class, maintainable item, failure mode, mechanism, cause and detection method. A failure mode describes loss of function; a mechanism describes the physical process of deterioration. Do not guess a mechanism from a trip alarm alone. [A1, A6]</w:t>
      </w:r>
    </w:p>
    <w:p>
      <w:pPr>
        <w:pStyle w:val="Heading2"/>
      </w:pPr>
      <w:r>
        <w:t>Set policy before collecting events</w:t>
      </w:r>
    </w:p>
    <w:p>
      <w:r>
        <w:rPr>
          <w:b w:val="0"/>
        </w:rPr>
        <w:t>Agree the micro-stop threshold, trip exceptions, restart confirmation, overlap allocation and grade-transition treatment. These change the meaning of reports. Version the policy and disclose its effective period. Ordinary code creation and some policy commands save directly; other configuration objects require distinct approval steps. Follow the actual workflow for each object.</w:t>
      </w:r>
    </w:p>
    <w:p>
      <w:r>
        <w:rPr>
          <w:b w:val="0"/>
        </w:rPr>
      </w:r>
      <w:r>
        <w:rPr>
          <w:b/>
        </w:rPr>
        <w:t>Checkpoint:</w:t>
      </w:r>
      <w:r>
        <w:rPr>
          <w:b w:val="0"/>
        </w:rPr>
        <w:t xml:space="preserve"> A reserve pump fails but its partner maintains full duty. Record the equipment failure with no production impact. Reliability still needs the event even though the extruder has no production loss.</w:t>
      </w:r>
    </w:p>
    <w:p>
      <w:r>
        <w:br w:type="page"/>
      </w:r>
    </w:p>
    <w:p>
      <w:pPr>
        <w:pStyle w:val="Heading1"/>
      </w:pPr>
      <w:r>
        <w:t>9 Connect measurements and define their authority</w:t>
      </w:r>
    </w:p>
    <w:p>
      <w:r>
        <w:rPr>
          <w:b w:val="0"/>
        </w:rPr>
        <w:t>A connection answers where the data comes from. A mapping answers what each source field means. A subscription or job answers when it is read. A source-authority policy answers which eligible measurement is used for accounting. Completing one of these does not complete the others. [A2]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Evidence</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Course meaning</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Required checks</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Digital state</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RUN or STOP for the production function</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Timestamp, heartbeat, quality and mapping</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Cumulative output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Tonnes measured at extruder outlet</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Counter reset, monotonicity, unit and coverage</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Product identity</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Grade active in the period</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Match plan and actual run context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Laboratory disposition</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Nonconforming quantity and final treatment</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Lot identity, quantity, boundary and approval</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Maintenance record</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Failure and active repair evidence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Equipment, failure timing, restoration and repair times</w:t>
            </w:r>
          </w:p>
        </w:tc>
      </w:tr>
    </w:tbl>
    <w:p>
      <w:pPr>
        <w:spacing w:after="20"/>
      </w:pPr>
    </w:p>
    <w:p>
      <w:r>
        <w:rPr>
          <w:b w:val="0"/>
        </w:rPr>
        <w:t>For the teaching path, use a cumulative tonne counter and digital state through the documented MQTT intake. Define the signal identifiers, map the state, configure the approved measurement hierarchy and verify coverage. Digital state is carried through the documented measurement payload path; the PDF warns against assuming that a similarly named state handler exists. The guide’s numeric checkpoints are not a ready-to-import file. [A6]</w:t>
      </w:r>
    </w:p>
    <w:p>
      <w:pPr>
        <w:pStyle w:val="Heading2"/>
      </w:pPr>
      <w:r>
        <w:t>Decide which measurement is authoritative</w:t>
      </w:r>
    </w:p>
    <w:p>
      <w:r>
        <w:rPr>
          <w:b w:val="0"/>
        </w:rPr>
        <w:t>A counter delta, integrated rate and production-output record can all describe the same material. Choose one according to the approved policy; do not add all three. If the primary source is stale or bad, a fallback is permitted only under the defined conditions. Conflicting sources require investigation rather than averaging.</w:t>
      </w:r>
    </w:p>
    <w:p>
      <w:r>
        <w:rPr>
          <w:b w:val="0"/>
        </w:rPr>
        <w:t>PI data can be used through the supported workflow when the actual PI Web API, identity mapping and site access are available. The presence of a connection screen or a simulator result does not establish live site acceptance. [A2, A4]</w:t>
      </w:r>
    </w:p>
    <w:p>
      <w:pPr>
        <w:pStyle w:val="Heading2"/>
      </w:pPr>
      <w:r>
        <w:t>Test the complete path</w:t>
      </w:r>
    </w:p>
    <w:p>
      <w:r>
        <w:rPr>
          <w:b w:val="0"/>
        </w:rPr>
        <w:t>Check the source record, raw observation, mapped signal or event, derived state and period actuals. A connected broker does not prove that a valid quantity reached the ledger. Bad timestamps, unknown IDs and invalid payloads belong in quarantine with evidence. Fix the mapping, dry-run representative records, then replay a bounded set.</w:t>
      </w:r>
    </w:p>
    <w:p>
      <w:r>
        <w:rPr>
          <w:b w:val="0"/>
        </w:rPr>
        <w:t>Missing data means unknown. It must not become zero production or a false machine stop.</w:t>
      </w:r>
    </w:p>
    <w:p>
      <w:r>
        <w:br w:type="page"/>
      </w:r>
    </w:p>
    <w:p>
      <w:pPr>
        <w:pStyle w:val="Heading1"/>
      </w:pPr>
      <w:r>
        <w:t>10 Measure production at a consistent boundary</w:t>
      </w:r>
    </w:p>
    <w:p>
      <w:r>
        <w:rPr>
          <w:b w:val="0"/>
        </w:rPr>
        <w:t>For a cumulative counter with valid start and end readings and no intervening reset, period gross output is the end reading less the start reading. In the baseline, 1,192 t minus 1,000 t gives 192 t. The counter’s absolute lifetime total is not the shift’s production.</w:t>
      </w:r>
    </w:p>
    <w:p>
      <w:r>
        <w:rPr>
          <w:b w:val="0"/>
        </w:rPr>
        <w:t>A rate signal can be integrated over time when its unit, timebase, sampling behavior, quality and supported calculation path are valid. A sample of 28 t/h is a rate, not a 28 t production event. The supplied end-to-end procedure uses a tonne counter to keep its quantity calculation unambiguous. [A6]</w:t>
      </w:r>
    </w:p>
    <w:p>
      <w:pPr>
        <w:pStyle w:val="Heading2"/>
      </w:pPr>
      <w:r>
        <w:t>Why storage changes the answer</w:t>
      </w:r>
    </w:p>
    <w:p>
      <w:r>
        <w:rPr>
          <w:b w:val="0"/>
        </w:rPr>
        <w:t>Suppose an extruder produces 192 t, bagging dispatches 180 t, and the pellet silo gains 12 t over the same window. With no other flows, the gross material balance is 192 = 180 + 12. Counting bagging dispatch as extruder production would invent a 12 t extrusion shortfall.</w:t>
      </w:r>
    </w:p>
    <w:p>
      <w:r>
        <w:rPr>
          <w:b w:val="0"/>
        </w:rPr>
        <w:t>In practice, opening and closing inventory, transfers, off-grade diversion, rework and measurement uncertainty must all be considered. The correct balance depends on the chosen boundary. A bagging measurement is not an automatic substitute for an extruder measurement.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tcMar>
              <w:top w:w="75" w:type="dxa"/>
              <w:left w:w="75" w:type="dxa"/>
              <w:bottom w:w="75" w:type="dxa"/>
              <w:right w:w="75" w:type="dxa"/>
            </w:tcMar>
            <w:shd w:fill="173B57"/>
          </w:tcPr>
          <w:p>
            <w:pPr>
              <w:spacing w:after="0" w:before="0" w:line="252" w:lineRule="auto"/>
              <w:jc w:val="center"/>
            </w:pPr>
            <w:r>
              <w:rPr>
                <w:b/>
                <w:color w:val="FFFFFF"/>
                <w:sz w:val="18"/>
              </w:rPr>
              <w:t>Problem</w:t>
            </w:r>
          </w:p>
        </w:tc>
        <w:tc>
          <w:tcPr>
            <w:tcW w:type="dxa" w:w="6883"/>
            <w:vAlign w:val="center"/>
            <w:tcMar>
              <w:top w:w="75" w:type="dxa"/>
              <w:left w:w="75" w:type="dxa"/>
              <w:bottom w:w="75" w:type="dxa"/>
              <w:right w:w="75" w:type="dxa"/>
            </w:tcMar>
            <w:shd w:fill="173B57"/>
          </w:tcPr>
          <w:p>
            <w:pPr>
              <w:spacing w:after="0" w:before="0" w:line="252" w:lineRule="auto"/>
              <w:jc w:val="center"/>
            </w:pPr>
            <w:r>
              <w:rPr>
                <w:b/>
                <w:color w:val="FFFFFF"/>
                <w:sz w:val="18"/>
              </w:rPr>
              <w:t>Correct accounting response</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Counter resets during shift</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Reconstruct supported segments with reset evidence; do not use a negative end-minus-start total.</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Source is stale for 30 minutes</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Flag incomplete coverage; use only an authorized fallback or supported estimate.</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Counter and output event both exist</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Apply authority policy; do not count the same output twice.</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Output event spans shifts</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Prefer its measured distribution; otherwise use only the permitted, labelled allocation method.</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Wrong unit such as kg versus t</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Correct the configured conversion and recompute; do not widen tolerance.</w:t>
            </w:r>
          </w:p>
        </w:tc>
      </w:tr>
    </w:tbl>
    <w:p>
      <w:pPr>
        <w:spacing w:after="20"/>
      </w:pPr>
    </w:p>
    <w:p>
      <w:r>
        <w:rPr>
          <w:b w:val="0"/>
        </w:rPr>
        <w:t>The documented application can estimate a spanning output event only under its configured policy. If estimation is disabled, the completed event is booked in its ending window and flagged as spanning; an open output event is not booked. This is a product behavior to verify against local accounting requirements. [A2]</w:t>
      </w:r>
    </w:p>
    <w:p>
      <w:r>
        <w:rPr>
          <w:b w:val="0"/>
        </w:rPr>
      </w:r>
      <w:r>
        <w:rPr>
          <w:b/>
        </w:rPr>
        <w:t>Checkpoint:</w:t>
      </w:r>
      <w:r>
        <w:rPr>
          <w:b w:val="0"/>
        </w:rPr>
        <w:t xml:space="preserve"> A zero reading from a healthy instrument can be evidence. A missing reading cannot support a zero. Always review actuals provenance, coverage and uncertainty before judging plant performance.</w:t>
      </w:r>
    </w:p>
    <w:p>
      <w:r>
        <w:br w:type="page"/>
      </w:r>
    </w:p>
    <w:p>
      <w:pPr>
        <w:pStyle w:val="Heading1"/>
      </w:pPr>
      <w:r>
        <w:t>11 Distinguish good output and quality dispositions</w:t>
      </w:r>
    </w:p>
    <w:p>
      <w:r>
        <w:rPr>
          <w:b w:val="0"/>
        </w:rPr>
        <w:t>First-pass good output means material that meets the intended product specification without rework. Gross output includes material that crossed the measurement boundary even when it later receives a nonconforming disposition.</w:t>
      </w:r>
    </w:p>
    <w:p>
      <w:r>
        <w:rPr>
          <w:b w:val="0"/>
        </w:rPr>
        <w:t>The baseline produces 192 t gross. An approved lot disposition identifies 2 t as downgraded from the intended grade, leaving 190 t first-pass good. The downgraded material still exists and may be sold. Its physical quality loss and economic loss answer different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Disposition</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Physical accounting</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Economic question</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Sold downgrade</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Excluded from first-pass good of the intended grade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What price difference and handling cost were incurred?</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Scrap</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Nonconforming output remains a quality loss</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What spent cost, salvage and disposal apply?</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Rework</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Original material remains nonconforming on first pass</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What incremental cost, yield loss and displaced output result?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Transition off-grade</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Track the lot and the approved transition treatment</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Was it expected, recoverable or sold at a discount?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Pending laboratory release</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Keep quality status and missing evidence visible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Is a final value justified yet?</w:t>
            </w:r>
          </w:p>
        </w:tc>
      </w:tr>
    </w:tbl>
    <w:p>
      <w:pPr>
        <w:spacing w:after="20"/>
      </w:pPr>
    </w:p>
    <w:p>
      <w:pPr>
        <w:pStyle w:val="Heading2"/>
      </w:pPr>
      <w:r>
        <w:t>Record and approve the disposition</w:t>
      </w:r>
    </w:p>
    <w:p>
      <w:r>
        <w:rPr>
          <w:b w:val="0"/>
        </w:rPr>
        <w:t xml:space="preserve">In the period’s </w:t>
      </w:r>
      <w:r>
        <w:rPr>
          <w:b/>
        </w:rPr>
        <w:t>Actuals &amp; quality</w:t>
      </w:r>
      <w:r>
        <w:rPr>
          <w:b w:val="0"/>
        </w:rPr>
        <w:t xml:space="preserve"> section, record the lot, production context, quantity, disposition and evidence. A quality approver reviews it under the ordinary-user independence rules. A quality-loss event is useful cause evidence, but it is not automatically the authoritative rejected quantity for actuals. [A2, A6]</w:t>
      </w:r>
    </w:p>
    <w:p>
      <w:r>
        <w:rPr>
          <w:b w:val="0"/>
        </w:rPr>
        <w:t xml:space="preserve">Without reject evidence, the documented gross-based path may display good equal to gross with </w:t>
      </w:r>
      <w:r>
        <w:rPr>
          <w:b/>
        </w:rPr>
        <w:t>rejects_not_measured</w:t>
      </w:r>
      <w:r>
        <w:rPr>
          <w:b w:val="0"/>
        </w:rPr>
        <w:t>. That is an explicit measurement limitation, not verified 100% quality. Check the flag before using the quality ratio.</w:t>
      </w:r>
    </w:p>
    <w:p>
      <w:pPr>
        <w:pStyle w:val="Heading2"/>
      </w:pPr>
      <w:r>
        <w:t>Avoid duplicate material</w:t>
      </w:r>
    </w:p>
    <w:p>
      <w:r>
        <w:rPr>
          <w:b w:val="0"/>
        </w:rPr>
        <w:t>If the 2 t is reworked on a later day and 1.8 t is recovered, retain the original first-pass loss and link the recovery movement. Do not simply add 1.8 t to the original shift’s good output and also count it as fresh material in the later shift. Site rules must define rework input and recovered-output boundaries.</w:t>
      </w:r>
    </w:p>
    <w:p>
      <w:r>
        <w:rPr>
          <w:b w:val="0"/>
        </w:rPr>
      </w:r>
      <w:r>
        <w:rPr>
          <w:b/>
        </w:rPr>
        <w:t>Checkpoint:</w:t>
      </w:r>
      <w:r>
        <w:rPr>
          <w:b w:val="0"/>
        </w:rPr>
        <w:t xml:space="preserve"> Two tonnes sold as a lower grade are a 2 t quality loss against the original grade. They are not automatically two tonnes of permanently lost sales revenue.</w:t>
      </w:r>
    </w:p>
    <w:p>
      <w:r>
        <w:br w:type="page"/>
      </w:r>
    </w:p>
    <w:p>
      <w:pPr>
        <w:pStyle w:val="Heading1"/>
      </w:pPr>
      <w:r>
        <w:t>12 Follow the baseline shift minute by minute</w:t>
      </w:r>
    </w:p>
    <w:p>
      <w:r>
        <w:rPr>
          <w:b w:val="0"/>
        </w:rPr>
        <w:t>Shift A runs from 06:00 to 14:00 on 2 November 2026. Grade A’s approved sustained and planning rates are both 28 t/h. The plan target is 224 t, and all eight hours are scheduled for production. The example adapts the supplied single-extruder dataset. [A6 section 18]</w:t>
      </w:r>
    </w:p>
    <w:p>
      <w:pPr>
        <w:spacing w:after="140"/>
      </w:pPr>
      <w:r>
        <w:drawing>
          <wp:inline xmlns:a="http://schemas.openxmlformats.org/drawingml/2006/main" xmlns:pic="http://schemas.openxmlformats.org/drawingml/2006/picture">
            <wp:extent cx="6126480" cy="1123188"/>
            <wp:docPr id="2" name="Picture 2" descr="Shift A runs at 28 tonnes per hour from 06 to 08, stops from 08 to 09, then runs at 27.2 tonnes per hour until 14."/>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6126480" cy="1123188"/>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Plant-local checkpoint</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Production state</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Gross counter 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06:00</w:t>
            </w:r>
          </w:p>
        </w:tc>
        <w:tc>
          <w:tcPr>
            <w:tcW w:type="dxa" w:w="4176"/>
            <w:vAlign w:val="center"/>
            <w:tcMar>
              <w:top w:w="75" w:type="dxa"/>
              <w:left w:w="75" w:type="dxa"/>
              <w:bottom w:w="75" w:type="dxa"/>
              <w:right w:w="75" w:type="dxa"/>
            </w:tcMar>
            <w:shd w:fill="F1F5F7"/>
          </w:tcPr>
          <w:p>
            <w:pPr>
              <w:spacing w:after="0" w:before="0" w:line="252" w:lineRule="auto"/>
              <w:jc w:val="center"/>
            </w:pPr>
            <w:r>
              <w:rPr>
                <w:b w:val="0"/>
                <w:color w:val="000000"/>
                <w:sz w:val="18"/>
              </w:rPr>
              <w:t>RUN</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1000.0</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07:00</w:t>
            </w:r>
          </w:p>
        </w:tc>
        <w:tc>
          <w:tcPr>
            <w:tcW w:type="dxa" w:w="4176"/>
            <w:vAlign w:val="center"/>
            <w:tcMar>
              <w:top w:w="75" w:type="dxa"/>
              <w:left w:w="75" w:type="dxa"/>
              <w:bottom w:w="75" w:type="dxa"/>
              <w:right w:w="75" w:type="dxa"/>
            </w:tcMar>
            <w:shd w:fill="FFFFFF"/>
          </w:tcPr>
          <w:p>
            <w:pPr>
              <w:spacing w:after="0" w:before="0" w:line="252" w:lineRule="auto"/>
              <w:jc w:val="center"/>
            </w:pPr>
            <w:r>
              <w:rPr>
                <w:b w:val="0"/>
                <w:color w:val="000000"/>
                <w:sz w:val="18"/>
              </w:rPr>
              <w:t>RUN</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1028.0</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08:00</w:t>
            </w:r>
          </w:p>
        </w:tc>
        <w:tc>
          <w:tcPr>
            <w:tcW w:type="dxa" w:w="4176"/>
            <w:vAlign w:val="center"/>
            <w:tcMar>
              <w:top w:w="75" w:type="dxa"/>
              <w:left w:w="75" w:type="dxa"/>
              <w:bottom w:w="75" w:type="dxa"/>
              <w:right w:w="75" w:type="dxa"/>
            </w:tcMar>
            <w:shd w:fill="F1F5F7"/>
          </w:tcPr>
          <w:p>
            <w:pPr>
              <w:spacing w:after="0" w:before="0" w:line="252" w:lineRule="auto"/>
              <w:jc w:val="center"/>
            </w:pPr>
            <w:r>
              <w:rPr>
                <w:b w:val="0"/>
                <w:color w:val="000000"/>
                <w:sz w:val="18"/>
              </w:rPr>
              <w:t>STOP begins</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1056.0</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08:30</w:t>
            </w:r>
          </w:p>
        </w:tc>
        <w:tc>
          <w:tcPr>
            <w:tcW w:type="dxa" w:w="4176"/>
            <w:vAlign w:val="center"/>
            <w:tcMar>
              <w:top w:w="75" w:type="dxa"/>
              <w:left w:w="75" w:type="dxa"/>
              <w:bottom w:w="75" w:type="dxa"/>
              <w:right w:w="75" w:type="dxa"/>
            </w:tcMar>
            <w:shd w:fill="FFFFFF"/>
          </w:tcPr>
          <w:p>
            <w:pPr>
              <w:spacing w:after="0" w:before="0" w:line="252" w:lineRule="auto"/>
              <w:jc w:val="center"/>
            </w:pPr>
            <w:r>
              <w:rPr>
                <w:b w:val="0"/>
                <w:color w:val="000000"/>
                <w:sz w:val="18"/>
              </w:rPr>
              <w:t>STOP</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1056.0</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09:00</w:t>
            </w:r>
          </w:p>
        </w:tc>
        <w:tc>
          <w:tcPr>
            <w:tcW w:type="dxa" w:w="4176"/>
            <w:vAlign w:val="center"/>
            <w:tcMar>
              <w:top w:w="75" w:type="dxa"/>
              <w:left w:w="75" w:type="dxa"/>
              <w:bottom w:w="75" w:type="dxa"/>
              <w:right w:w="75" w:type="dxa"/>
            </w:tcMar>
            <w:shd w:fill="F1F5F7"/>
          </w:tcPr>
          <w:p>
            <w:pPr>
              <w:spacing w:after="0" w:before="0" w:line="252" w:lineRule="auto"/>
              <w:jc w:val="center"/>
            </w:pPr>
            <w:r>
              <w:rPr>
                <w:b w:val="0"/>
                <w:color w:val="000000"/>
                <w:sz w:val="18"/>
              </w:rPr>
              <w:t>RUN resumes</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1056.0</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10:00</w:t>
            </w:r>
          </w:p>
        </w:tc>
        <w:tc>
          <w:tcPr>
            <w:tcW w:type="dxa" w:w="4176"/>
            <w:vAlign w:val="center"/>
            <w:tcMar>
              <w:top w:w="75" w:type="dxa"/>
              <w:left w:w="75" w:type="dxa"/>
              <w:bottom w:w="75" w:type="dxa"/>
              <w:right w:w="75" w:type="dxa"/>
            </w:tcMar>
            <w:shd w:fill="FFFFFF"/>
          </w:tcPr>
          <w:p>
            <w:pPr>
              <w:spacing w:after="0" w:before="0" w:line="252" w:lineRule="auto"/>
              <w:jc w:val="center"/>
            </w:pPr>
            <w:r>
              <w:rPr>
                <w:b w:val="0"/>
                <w:color w:val="000000"/>
                <w:sz w:val="18"/>
              </w:rPr>
              <w:t>RUN</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1083.2</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12:00</w:t>
            </w:r>
          </w:p>
        </w:tc>
        <w:tc>
          <w:tcPr>
            <w:tcW w:type="dxa" w:w="4176"/>
            <w:vAlign w:val="center"/>
            <w:tcMar>
              <w:top w:w="75" w:type="dxa"/>
              <w:left w:w="75" w:type="dxa"/>
              <w:bottom w:w="75" w:type="dxa"/>
              <w:right w:w="75" w:type="dxa"/>
            </w:tcMar>
            <w:shd w:fill="F1F5F7"/>
          </w:tcPr>
          <w:p>
            <w:pPr>
              <w:spacing w:after="0" w:before="0" w:line="252" w:lineRule="auto"/>
              <w:jc w:val="center"/>
            </w:pPr>
            <w:r>
              <w:rPr>
                <w:b w:val="0"/>
                <w:color w:val="000000"/>
                <w:sz w:val="18"/>
              </w:rPr>
              <w:t>RUN</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1137.6</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14:00</w:t>
            </w:r>
          </w:p>
        </w:tc>
        <w:tc>
          <w:tcPr>
            <w:tcW w:type="dxa" w:w="4176"/>
            <w:vAlign w:val="center"/>
            <w:tcMar>
              <w:top w:w="75" w:type="dxa"/>
              <w:left w:w="75" w:type="dxa"/>
              <w:bottom w:w="75" w:type="dxa"/>
              <w:right w:w="75" w:type="dxa"/>
            </w:tcMar>
            <w:shd w:fill="FFFFFF"/>
          </w:tcPr>
          <w:p>
            <w:pPr>
              <w:spacing w:after="0" w:before="0" w:line="252" w:lineRule="auto"/>
              <w:jc w:val="center"/>
            </w:pPr>
            <w:r>
              <w:rPr>
                <w:b w:val="0"/>
                <w:color w:val="000000"/>
                <w:sz w:val="18"/>
              </w:rPr>
              <w:t>RUN and shift ends</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1192.0</w:t>
            </w:r>
          </w:p>
        </w:tc>
      </w:tr>
    </w:tbl>
    <w:p>
      <w:pPr>
        <w:spacing w:after="20"/>
      </w:pPr>
    </w:p>
    <w:p>
      <w:r>
        <w:rPr>
          <w:b w:val="0"/>
        </w:rPr>
        <w:t>The counter increases at 28 t/h for two hours, remains constant for one hour and increases at 27.2 t/h for five hours. Total gross output is 56 + 0 + 136 = 192 t. The 2 t approved downgrade leaves 190 t good output.</w:t>
      </w:r>
    </w:p>
    <w:p>
      <w:r>
        <w:rPr>
          <w:b w:val="0"/>
        </w:rPr>
        <w:t>The full dataset assumes regular valid samples, not only these checkpoints. In the source procedure, observations are sent every minute. Capture boundary readings and complete state coverage when reproducing the exercise.</w:t>
      </w:r>
    </w:p>
    <w:p>
      <w:r>
        <w:rPr>
          <w:b w:val="0"/>
        </w:rPr>
        <w:t>The 08:00 to 09:00 event is a gearbox-related full stop. The line is RUN after 09:00 even though throughput is below sustained capability. The state record therefore identifies the stop but does not explain the remaining rate deficit.</w:t>
      </w:r>
    </w:p>
    <w:p>
      <w:r>
        <w:rPr>
          <w:b w:val="0"/>
        </w:rPr>
        <w:t>Intervals include the start and exclude the end. The STOP event contains 08:00 but ends before the RUN state at 09:00. This convention lets adjacent periods meet without double-counting the boundary instant.</w:t>
      </w:r>
    </w:p>
    <w:p>
      <w:r>
        <w:rPr>
          <w:b w:val="0"/>
        </w:rPr>
      </w:r>
      <w:r>
        <w:rPr>
          <w:b/>
        </w:rPr>
        <w:t>Student task:</w:t>
      </w:r>
      <w:r>
        <w:rPr>
          <w:b w:val="0"/>
        </w:rPr>
        <w:t xml:space="preserve"> Calculate running time, gross output, good output and total capacity before reading the next lesson.</w:t>
      </w:r>
    </w:p>
    <w:p>
      <w:r>
        <w:br w:type="page"/>
      </w:r>
    </w:p>
    <w:p>
      <w:pPr>
        <w:pStyle w:val="Heading1"/>
      </w:pPr>
      <w:r>
        <w:t>13 Reconcile the capacity ledger</w:t>
      </w:r>
    </w:p>
    <w:p>
      <w:r>
        <w:rPr>
          <w:b w:val="0"/>
        </w:rPr>
        <w:t>The capacity ledger converts the approved sustained rate and elapsed segments into a physical account. For this baseline, rates are constant, all time is scheduled, and there are no gains, exclusions or excess claims.</w:t>
      </w:r>
    </w:p>
    <w:p>
      <w:pPr>
        <w:spacing w:after="140"/>
      </w:pPr>
      <w:r>
        <w:drawing>
          <wp:inline xmlns:a="http://schemas.openxmlformats.org/drawingml/2006/main" xmlns:pic="http://schemas.openxmlformats.org/drawingml/2006/picture">
            <wp:extent cx="6126480" cy="1599692"/>
            <wp:docPr id="3" name="Picture 3" descr="224 tonnes of capacity minus 28 availability loss, 4 performance loss and 2 quality loss leaves 190 tonnes good output."/>
            <wp:cNvGraphicFramePr>
              <a:graphicFrameLocks noChangeAspect="1"/>
            </wp:cNvGraphicFramePr>
            <a:graphic>
              <a:graphicData uri="http://schemas.openxmlformats.org/drawingml/2006/picture">
                <pic:pic>
                  <pic:nvPicPr>
                    <pic:cNvPr id="0" name="waterfall.png"/>
                    <pic:cNvPicPr/>
                  </pic:nvPicPr>
                  <pic:blipFill>
                    <a:blip r:embed="rId13"/>
                    <a:stretch>
                      <a:fillRect/>
                    </a:stretch>
                  </pic:blipFill>
                  <pic:spPr>
                    <a:xfrm>
                      <a:off x="0" y="0"/>
                      <a:ext cx="6126480" cy="1599692"/>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Component</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Calculation</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Result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Full capability</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8 h × 28 t/h</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224 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Availability loss</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1 h stopped × 28 t/h</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28 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Running capability</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7 h × 28 t/h</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196 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Performance loss</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196 t running capability − 192 t gross</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4 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Quality loss</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192 t gross − 190 t good</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2 t</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Good output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Authoritative gross less approved nonconforming output</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190 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Residual</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224 − 28 − 4 − 2 − 190</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0 t</w:t>
            </w:r>
          </w:p>
        </w:tc>
      </w:tr>
    </w:tbl>
    <w:p>
      <w:pPr>
        <w:spacing w:after="20"/>
      </w:pPr>
    </w:p>
    <w:p>
      <w:r>
        <w:rPr>
          <w:b w:val="0"/>
        </w:rPr>
        <w:t xml:space="preserve">The physical components reconcile: </w:t>
      </w:r>
      <w:r>
        <w:rPr>
          <w:b/>
        </w:rPr>
        <w:t>224 = 28 + 4 + 2 + 190</w:t>
      </w:r>
      <w:r>
        <w:rPr>
          <w:b w:val="0"/>
        </w:rPr>
        <w:t>. The unexplained performance component is still 4 t even if no slowdown event was generated.</w:t>
      </w:r>
    </w:p>
    <w:p>
      <w:r>
        <w:rPr>
          <w:b w:val="0"/>
        </w:rPr>
        <w:t>This arithmetic proves the size of the deficit, not its root cause. The capacity ledger can carry the 4 t as unexplained performance. An analyst must not label it operator error, feed restriction or equipment degradation without evidence.</w:t>
      </w:r>
    </w:p>
    <w:p>
      <w:pPr>
        <w:pStyle w:val="Heading2"/>
      </w:pPr>
      <w:r>
        <w:t>The broader identity</w:t>
      </w:r>
    </w:p>
    <w:p>
      <w:r>
        <w:rPr>
          <w:b w:val="0"/>
        </w:rPr>
        <w:t>For a valid account without excess claims, full capability plus gain equals excluded capability plus availability loss, performance loss, quality loss, good output and signed residual. An exclusion belongs outside the eligible schedule but remains visible in the full capacity bridge. A gain identifies gross output above effective running capability.</w:t>
      </w:r>
    </w:p>
    <w:p>
      <w:r>
        <w:rPr>
          <w:b w:val="0"/>
        </w:rPr>
        <w:t>The engine retains and flags excessive claims instead of quietly shrinking them to make a report balance. Missing rates, invalid quantities and source conflicts also remain visible. A zero residual alone does not establish that the causes and measurements are correct. [A2, A6]</w:t>
      </w:r>
    </w:p>
    <w:p>
      <w:r>
        <w:rPr>
          <w:b w:val="0"/>
        </w:rPr>
      </w:r>
      <w:r>
        <w:rPr>
          <w:b/>
        </w:rPr>
        <w:t>Checkpoint:</w:t>
      </w:r>
      <w:r>
        <w:rPr>
          <w:b w:val="0"/>
        </w:rPr>
        <w:t xml:space="preserve"> A 4 t slowdown claim explains the existing performance component. Adding it as a second 4 t loss on top of computed performance would double-count the deficit.</w:t>
      </w:r>
    </w:p>
    <w:p>
      <w:r>
        <w:br w:type="page"/>
      </w:r>
    </w:p>
    <w:p>
      <w:pPr>
        <w:pStyle w:val="Heading1"/>
      </w:pPr>
      <w:r>
        <w:t>14 Reconcile the plan ledger</w:t>
      </w:r>
    </w:p>
    <w:p>
      <w:r>
        <w:rPr>
          <w:b w:val="0"/>
        </w:rPr>
        <w:t xml:space="preserve">The plan ledger begins with the approved target, not the sustained-capacity total. For the baseline those happen to be equal at 224 t, so the plan gap is 224 − 190 = </w:t>
      </w:r>
      <w:r>
        <w:rPr>
          <w:b/>
        </w:rPr>
        <w:t>34 t</w:t>
      </w:r>
      <w:r>
        <w:rPr>
          <w:b w:val="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1930"/>
        <w:gridCol w:w="1930"/>
      </w:tblGrid>
      <w:tr>
        <w:trPr>
          <w:cantSplit/>
          <w:tblHeader/>
        </w:trPr>
        <w:tc>
          <w:tcPr>
            <w:tcW w:type="dxa" w:w="1656"/>
            <w:vAlign w:val="center"/>
            <w:tcMar>
              <w:top w:w="75" w:type="dxa"/>
              <w:left w:w="75" w:type="dxa"/>
              <w:bottom w:w="75" w:type="dxa"/>
              <w:right w:w="75" w:type="dxa"/>
            </w:tcMar>
            <w:shd w:fill="173B57"/>
          </w:tcPr>
          <w:p>
            <w:pPr>
              <w:spacing w:after="0" w:before="0" w:line="252" w:lineRule="auto"/>
              <w:jc w:val="center"/>
            </w:pPr>
            <w:r>
              <w:rPr>
                <w:b/>
                <w:color w:val="FFFFFF"/>
                <w:sz w:val="18"/>
              </w:rPr>
              <w:t>Stage</w:t>
            </w:r>
          </w:p>
        </w:tc>
        <w:tc>
          <w:tcPr>
            <w:tcW w:type="dxa" w:w="4320"/>
            <w:vAlign w:val="center"/>
            <w:tcMar>
              <w:top w:w="75" w:type="dxa"/>
              <w:left w:w="75" w:type="dxa"/>
              <w:bottom w:w="75" w:type="dxa"/>
              <w:right w:w="75" w:type="dxa"/>
            </w:tcMar>
            <w:shd w:fill="173B57"/>
          </w:tcPr>
          <w:p>
            <w:pPr>
              <w:spacing w:after="0" w:before="0" w:line="252" w:lineRule="auto"/>
              <w:jc w:val="center"/>
            </w:pPr>
            <w:r>
              <w:rPr>
                <w:b/>
                <w:color w:val="FFFFFF"/>
                <w:sz w:val="18"/>
              </w:rPr>
              <w:t>Accepted explanation</w:t>
            </w:r>
          </w:p>
        </w:tc>
        <w:tc>
          <w:tcPr>
            <w:tcW w:type="dxa" w:w="1930"/>
            <w:vAlign w:val="center"/>
            <w:tcMar>
              <w:top w:w="75" w:type="dxa"/>
              <w:left w:w="75" w:type="dxa"/>
              <w:bottom w:w="75" w:type="dxa"/>
              <w:right w:w="75" w:type="dxa"/>
            </w:tcMar>
            <w:shd w:fill="173B57"/>
          </w:tcPr>
          <w:p>
            <w:pPr>
              <w:spacing w:after="0" w:before="0" w:line="252" w:lineRule="auto"/>
              <w:jc w:val="center"/>
            </w:pPr>
            <w:r>
              <w:rPr>
                <w:b/>
                <w:color w:val="FFFFFF"/>
                <w:sz w:val="18"/>
              </w:rPr>
              <w:t>Attributed loss</w:t>
            </w:r>
          </w:p>
        </w:tc>
        <w:tc>
          <w:tcPr>
            <w:tcW w:type="dxa" w:w="1930"/>
            <w:vAlign w:val="center"/>
            <w:tcMar>
              <w:top w:w="75" w:type="dxa"/>
              <w:left w:w="75" w:type="dxa"/>
              <w:bottom w:w="75" w:type="dxa"/>
              <w:right w:w="75" w:type="dxa"/>
            </w:tcMar>
            <w:shd w:fill="173B57"/>
          </w:tcPr>
          <w:p>
            <w:pPr>
              <w:spacing w:after="0" w:before="0" w:line="252" w:lineRule="auto"/>
              <w:jc w:val="center"/>
            </w:pPr>
            <w:r>
              <w:rPr>
                <w:b/>
                <w:color w:val="FFFFFF"/>
                <w:sz w:val="18"/>
              </w:rPr>
              <w:t>Signed residual</w:t>
            </w:r>
          </w:p>
        </w:tc>
      </w:tr>
      <w:tr>
        <w:trPr>
          <w:cantSplit/>
        </w:trPr>
        <w:tc>
          <w:tcPr>
            <w:tcW w:type="dxa" w:w="1656"/>
            <w:vAlign w:val="center"/>
            <w:tcMar>
              <w:top w:w="75" w:type="dxa"/>
              <w:left w:w="75" w:type="dxa"/>
              <w:bottom w:w="75" w:type="dxa"/>
              <w:right w:w="75" w:type="dxa"/>
            </w:tcMar>
            <w:shd w:fill="F1F5F7"/>
          </w:tcPr>
          <w:p>
            <w:pPr>
              <w:spacing w:after="0" w:before="0" w:line="252" w:lineRule="auto"/>
            </w:pPr>
            <w:r>
              <w:rPr>
                <w:b w:val="0"/>
                <w:color w:val="000000"/>
                <w:sz w:val="18"/>
              </w:rPr>
              <w:t>Initial candidates</w:t>
            </w:r>
          </w:p>
        </w:tc>
        <w:tc>
          <w:tcPr>
            <w:tcW w:type="dxa" w:w="4320"/>
            <w:vAlign w:val="center"/>
            <w:tcMar>
              <w:top w:w="75" w:type="dxa"/>
              <w:left w:w="75" w:type="dxa"/>
              <w:bottom w:w="75" w:type="dxa"/>
              <w:right w:w="75" w:type="dxa"/>
            </w:tcMar>
            <w:shd w:fill="F1F5F7"/>
          </w:tcPr>
          <w:p>
            <w:pPr>
              <w:spacing w:after="0" w:before="0" w:line="252" w:lineRule="auto"/>
            </w:pPr>
            <w:r>
              <w:rPr>
                <w:b w:val="0"/>
                <w:color w:val="000000"/>
                <w:sz w:val="18"/>
              </w:rPr>
              <w:t>Gearbox stop 28 t and quality downgrade 2 t</w:t>
            </w:r>
          </w:p>
        </w:tc>
        <w:tc>
          <w:tcPr>
            <w:tcW w:type="dxa" w:w="1930"/>
            <w:vAlign w:val="center"/>
            <w:tcMar>
              <w:top w:w="75" w:type="dxa"/>
              <w:left w:w="75" w:type="dxa"/>
              <w:bottom w:w="75" w:type="dxa"/>
              <w:right w:w="75" w:type="dxa"/>
            </w:tcMar>
            <w:shd w:fill="F1F5F7"/>
          </w:tcPr>
          <w:p>
            <w:pPr>
              <w:spacing w:after="0" w:before="0" w:line="252" w:lineRule="auto"/>
              <w:jc w:val="center"/>
            </w:pPr>
            <w:r>
              <w:rPr>
                <w:b w:val="0"/>
                <w:color w:val="000000"/>
                <w:sz w:val="18"/>
              </w:rPr>
              <w:t>30 t</w:t>
            </w:r>
          </w:p>
        </w:tc>
        <w:tc>
          <w:tcPr>
            <w:tcW w:type="dxa" w:w="1930"/>
            <w:vAlign w:val="center"/>
            <w:tcMar>
              <w:top w:w="75" w:type="dxa"/>
              <w:left w:w="75" w:type="dxa"/>
              <w:bottom w:w="75" w:type="dxa"/>
              <w:right w:w="75" w:type="dxa"/>
            </w:tcMar>
            <w:shd w:fill="F1F5F7"/>
          </w:tcPr>
          <w:p>
            <w:pPr>
              <w:spacing w:after="0" w:before="0" w:line="252" w:lineRule="auto"/>
              <w:jc w:val="center"/>
            </w:pPr>
            <w:r>
              <w:rPr>
                <w:b w:val="0"/>
                <w:color w:val="000000"/>
                <w:sz w:val="18"/>
              </w:rPr>
              <w:t>4 t</w:t>
            </w:r>
          </w:p>
        </w:tc>
      </w:tr>
      <w:tr>
        <w:trPr>
          <w:cantSplit/>
        </w:trPr>
        <w:tc>
          <w:tcPr>
            <w:tcW w:type="dxa" w:w="1656"/>
            <w:vAlign w:val="center"/>
            <w:tcMar>
              <w:top w:w="75" w:type="dxa"/>
              <w:left w:w="75" w:type="dxa"/>
              <w:bottom w:w="75" w:type="dxa"/>
              <w:right w:w="75" w:type="dxa"/>
            </w:tcMar>
            <w:shd w:fill="FFFFFF"/>
          </w:tcPr>
          <w:p>
            <w:pPr>
              <w:spacing w:after="0" w:before="0" w:line="252" w:lineRule="auto"/>
            </w:pPr>
            <w:r>
              <w:rPr>
                <w:b w:val="0"/>
                <w:color w:val="000000"/>
                <w:sz w:val="18"/>
              </w:rPr>
              <w:t>After supported rate explanation</w:t>
            </w:r>
          </w:p>
        </w:tc>
        <w:tc>
          <w:tcPr>
            <w:tcW w:type="dxa" w:w="4320"/>
            <w:vAlign w:val="center"/>
            <w:tcMar>
              <w:top w:w="75" w:type="dxa"/>
              <w:left w:w="75" w:type="dxa"/>
              <w:bottom w:w="75" w:type="dxa"/>
              <w:right w:w="75" w:type="dxa"/>
            </w:tcMar>
            <w:shd w:fill="FFFFFF"/>
          </w:tcPr>
          <w:p>
            <w:pPr>
              <w:spacing w:after="0" w:before="0" w:line="252" w:lineRule="auto"/>
            </w:pPr>
            <w:r>
              <w:rPr>
                <w:b w:val="0"/>
                <w:color w:val="000000"/>
                <w:sz w:val="18"/>
              </w:rPr>
              <w:t>Stop 28 t, reduced output 4 t, downgrade 2 t</w:t>
            </w:r>
          </w:p>
        </w:tc>
        <w:tc>
          <w:tcPr>
            <w:tcW w:type="dxa" w:w="1930"/>
            <w:vAlign w:val="center"/>
            <w:tcMar>
              <w:top w:w="75" w:type="dxa"/>
              <w:left w:w="75" w:type="dxa"/>
              <w:bottom w:w="75" w:type="dxa"/>
              <w:right w:w="75" w:type="dxa"/>
            </w:tcMar>
            <w:shd w:fill="FFFFFF"/>
          </w:tcPr>
          <w:p>
            <w:pPr>
              <w:spacing w:after="0" w:before="0" w:line="252" w:lineRule="auto"/>
              <w:jc w:val="center"/>
            </w:pPr>
            <w:r>
              <w:rPr>
                <w:b w:val="0"/>
                <w:color w:val="000000"/>
                <w:sz w:val="18"/>
              </w:rPr>
              <w:t>34 t</w:t>
            </w:r>
          </w:p>
        </w:tc>
        <w:tc>
          <w:tcPr>
            <w:tcW w:type="dxa" w:w="1930"/>
            <w:vAlign w:val="center"/>
            <w:tcMar>
              <w:top w:w="75" w:type="dxa"/>
              <w:left w:w="75" w:type="dxa"/>
              <w:bottom w:w="75" w:type="dxa"/>
              <w:right w:w="75" w:type="dxa"/>
            </w:tcMar>
            <w:shd w:fill="FFFFFF"/>
          </w:tcPr>
          <w:p>
            <w:pPr>
              <w:spacing w:after="0" w:before="0" w:line="252" w:lineRule="auto"/>
              <w:jc w:val="center"/>
            </w:pPr>
            <w:r>
              <w:rPr>
                <w:b w:val="0"/>
                <w:color w:val="000000"/>
                <w:sz w:val="18"/>
              </w:rPr>
              <w:t>0 t</w:t>
            </w:r>
          </w:p>
        </w:tc>
      </w:tr>
    </w:tbl>
    <w:p>
      <w:pPr>
        <w:spacing w:after="20"/>
      </w:pPr>
    </w:p>
    <w:p>
      <w:r>
        <w:rPr>
          <w:b w:val="0"/>
        </w:rPr>
        <w:t xml:space="preserve">The totalizer record proves that the post-restart five hours produced 4 t less than the 28 t/h reference. In this teaching exercise, add or accept a </w:t>
      </w:r>
      <w:r>
        <w:rPr>
          <w:b/>
        </w:rPr>
        <w:t>Performance</w:t>
      </w:r>
      <w:r>
        <w:rPr>
          <w:b w:val="0"/>
        </w:rPr>
        <w:t xml:space="preserve"> line for 4 t with SPEED-LOSS and the counter evidence reference. State the observed rate deficit; do not invent a deeper causal explanation. If an equivalent candidate already exists, accept or adjust it instead of adding another line. [A6]</w:t>
      </w:r>
    </w:p>
    <w:p>
      <w:r>
        <w:rPr>
          <w:b w:val="0"/>
        </w:rPr>
        <w:t>The accounting identity is target minus good output equals signed attributed lines plus any explicit tolerance adjustment plus residual. A residual can be positive or negative. Negative residuals may reveal over-allocation, gains or overproduction and must not be hidden by a zero floor.</w:t>
      </w:r>
    </w:p>
    <w:p>
      <w:pPr>
        <w:pStyle w:val="Heading2"/>
      </w:pPr>
      <w:r>
        <w:t>Change the plan without changing the machine</w:t>
      </w:r>
    </w:p>
    <w:p>
      <w:r>
        <w:rPr>
          <w:b w:val="0"/>
        </w:rPr>
        <w:t>Consider a separate variant with a 200 t target. Keep the same 28 t/h sustained rate and the same 190 t good output. The target-scaled plan rate is 25 t/h over eight hours.</w:t>
      </w:r>
    </w:p>
    <w:p>
      <w:r>
        <w:rPr>
          <w:b w:val="0"/>
        </w:rPr>
        <w:t xml:space="preserve">The plan stop loss is 25 t. Running gross output exceeds the plan’s seven-hour running reference by 192 − 175 = 17 t, recorded as a separate gain. Quality loss remains 2 t. Therefore </w:t>
      </w:r>
      <w:r>
        <w:rPr>
          <w:b/>
        </w:rPr>
        <w:t>25 + 2 − 17 = 10 t</w:t>
      </w:r>
      <w:r>
        <w:rPr>
          <w:b w:val="0"/>
        </w:rPr>
        <w:t>, matching 200 − 190.</w:t>
      </w:r>
    </w:p>
    <w:p>
      <w:r>
        <w:rPr>
          <w:b w:val="0"/>
        </w:rPr>
        <w:t>Capacity still shows 34 t of physical loss. The plan shows a 10 t net gap. The plan’s recovery gain has not removed the one-hour stop or the 4 t deficit against sustained capability.</w:t>
      </w:r>
    </w:p>
    <w:p>
      <w:r>
        <w:rPr>
          <w:b w:val="0"/>
        </w:rPr>
        <w:t>This is a simplified, fully covered teaching variant of the documented target-scaling approach. Inspect the application’s generated lines and flags for the actual configured case. Never add plan and capacity losses together.</w:t>
      </w:r>
    </w:p>
    <w:p>
      <w:r>
        <w:br w:type="page"/>
      </w:r>
    </w:p>
    <w:p>
      <w:pPr>
        <w:pStyle w:val="Heading1"/>
      </w:pPr>
      <w:r>
        <w:t>15 Calculate OEE and interpret its denominator</w:t>
      </w:r>
    </w:p>
    <w:p>
      <w:r>
        <w:rPr>
          <w:b w:val="0"/>
        </w:rPr>
        <w:t>Overall equipment effectiveness, or OEE, relates good production to a defined production-time opportunity. The operational calculation distinguishes availability, performance and quality. It does not use the sales or production target as its denominator. [A6 section 17; W4]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Measure</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Baseline calculation</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Result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Availability</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7 running hours / 8 scheduled hours</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87.5000%</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Performance</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192 gross t / (7 h × 28 t/h)</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97.9592%</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Quality</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190 good t / 192 gross t</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98.9583%</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Operational OEE</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Availability × Performance × Quality</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84.8214%</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Direct OEE check</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190 good t / 224 t sustained opportunity</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84.8214%</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Plan achievement</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190 good t / 224 t target</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84.8214%</w:t>
            </w:r>
          </w:p>
        </w:tc>
      </w:tr>
    </w:tbl>
    <w:p>
      <w:pPr>
        <w:spacing w:after="20"/>
      </w:pPr>
    </w:p>
    <w:p>
      <w:r>
        <w:rPr>
          <w:b w:val="0"/>
        </w:rPr>
        <w:t>Plan achievement equals OEE only because this baseline’s target equals its sustained opportunity. With the 200 t target in lesson 14, plan achievement becomes 95%, while operational OEE remains 84.8214%.</w:t>
      </w:r>
    </w:p>
    <w:p>
      <w:pPr>
        <w:pStyle w:val="Heading2"/>
      </w:pPr>
      <w:r>
        <w:t>The application provides distinct OEE views</w:t>
      </w:r>
    </w:p>
    <w:p>
      <w:r>
        <w:rPr>
          <w:b w:val="0"/>
        </w:rPr>
        <w:t>Operational OEE uses state, scheduled time and ideal production-time terms. At a constant rate, ideal gross time is gross divided by sustained rate, and ideal good time is good divided by sustained rate. When grades or rates change, use the documented segmented calculation and stored numerator and denominator terms. Do not divide every product by one arbitrary common rate.</w:t>
      </w:r>
    </w:p>
    <w:p>
      <w:r>
        <w:rPr>
          <w:b w:val="0"/>
        </w:rPr>
        <w:t>Reconciled PLA OEE uses known good quantity and reconciled loss components. If T is good plus availability, performance and quality loss, its OEE is good divided by T. Its factor calculations reconstruct the same chain from those quantities. In the balanced baseline it agrees with operational OEE; that agreement is not guaranteed for every policy or incomplete dataset. The capacity balance and validity gates still apply. [A6]</w:t>
      </w:r>
    </w:p>
    <w:p>
      <w:pPr>
        <w:pStyle w:val="Heading2"/>
      </w:pPr>
      <w:r>
        <w:t>Read the qualifications</w:t>
      </w:r>
    </w:p>
    <w:p>
      <w:r>
        <w:rPr>
          <w:b w:val="0"/>
        </w:rPr>
        <w:t>Disclose schedule exclusions and any policy-excluded planned stops. Scheduled availability and the supplemental controllable view have different rules. Do not quietly remove external losses from the headline measure. Missing or zero denominators produce unavailable results, and factors above 100% require investigation.</w:t>
      </w:r>
    </w:p>
    <w:p>
      <w:r>
        <w:rPr>
          <w:b w:val="0"/>
        </w:rPr>
        <w:t>Aggregate stored terms, not rounded percentages. A short low-output shift must not receive the same weight as a long high-capacity shift merely because both have one percentage on a dashboard.</w:t>
      </w:r>
    </w:p>
    <w:p>
      <w:r>
        <w:br w:type="page"/>
      </w:r>
    </w:p>
    <w:p>
      <w:pPr>
        <w:pStyle w:val="Heading1"/>
      </w:pPr>
      <w:r>
        <w:t>16 Extend the example to a complete day</w:t>
      </w:r>
    </w:p>
    <w:p>
      <w:r>
        <w:rPr>
          <w:b w:val="0"/>
        </w:rPr>
        <w:t>Add two teaching shifts to the source baseline. Shift B runs for eight hours at 28 t/h, produces 224 t gross and downgrades 1 t. Shift C has a separate 30-minute stop, runs at 28 t/h for 7.5 hours, produces 210 t gross and downgrades 1 t. Both extensions are invented training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670"/>
        <w:gridCol w:w="1670"/>
        <w:gridCol w:w="1670"/>
        <w:gridCol w:w="1656"/>
      </w:tblGrid>
      <w:tr>
        <w:trPr>
          <w:cantSplit/>
          <w:tblHeader/>
        </w:trPr>
        <w:tc>
          <w:tcPr>
            <w:tcW w:type="dxa" w:w="3168"/>
            <w:vAlign w:val="center"/>
            <w:tcMar>
              <w:top w:w="75" w:type="dxa"/>
              <w:left w:w="75" w:type="dxa"/>
              <w:bottom w:w="75" w:type="dxa"/>
              <w:right w:w="75" w:type="dxa"/>
            </w:tcMar>
            <w:shd w:fill="173B57"/>
          </w:tcPr>
          <w:p>
            <w:pPr>
              <w:spacing w:after="0" w:before="0" w:line="252" w:lineRule="auto"/>
              <w:jc w:val="center"/>
            </w:pPr>
            <w:r>
              <w:rPr>
                <w:b/>
                <w:color w:val="FFFFFF"/>
                <w:sz w:val="18"/>
              </w:rPr>
              <w:t>Quantity</w:t>
            </w:r>
          </w:p>
        </w:tc>
        <w:tc>
          <w:tcPr>
            <w:tcW w:type="dxa" w:w="1670"/>
            <w:vAlign w:val="center"/>
            <w:tcMar>
              <w:top w:w="75" w:type="dxa"/>
              <w:left w:w="75" w:type="dxa"/>
              <w:bottom w:w="75" w:type="dxa"/>
              <w:right w:w="75" w:type="dxa"/>
            </w:tcMar>
            <w:shd w:fill="173B57"/>
          </w:tcPr>
          <w:p>
            <w:pPr>
              <w:spacing w:after="0" w:before="0" w:line="252" w:lineRule="auto"/>
              <w:jc w:val="center"/>
            </w:pPr>
            <w:r>
              <w:rPr>
                <w:b/>
                <w:color w:val="FFFFFF"/>
                <w:sz w:val="18"/>
              </w:rPr>
              <w:t>Shift A</w:t>
            </w:r>
          </w:p>
        </w:tc>
        <w:tc>
          <w:tcPr>
            <w:tcW w:type="dxa" w:w="1670"/>
            <w:vAlign w:val="center"/>
            <w:tcMar>
              <w:top w:w="75" w:type="dxa"/>
              <w:left w:w="75" w:type="dxa"/>
              <w:bottom w:w="75" w:type="dxa"/>
              <w:right w:w="75" w:type="dxa"/>
            </w:tcMar>
            <w:shd w:fill="173B57"/>
          </w:tcPr>
          <w:p>
            <w:pPr>
              <w:spacing w:after="0" w:before="0" w:line="252" w:lineRule="auto"/>
              <w:jc w:val="center"/>
            </w:pPr>
            <w:r>
              <w:rPr>
                <w:b/>
                <w:color w:val="FFFFFF"/>
                <w:sz w:val="18"/>
              </w:rPr>
              <w:t>Shift B</w:t>
            </w:r>
          </w:p>
        </w:tc>
        <w:tc>
          <w:tcPr>
            <w:tcW w:type="dxa" w:w="1670"/>
            <w:vAlign w:val="center"/>
            <w:tcMar>
              <w:top w:w="75" w:type="dxa"/>
              <w:left w:w="75" w:type="dxa"/>
              <w:bottom w:w="75" w:type="dxa"/>
              <w:right w:w="75" w:type="dxa"/>
            </w:tcMar>
            <w:shd w:fill="173B57"/>
          </w:tcPr>
          <w:p>
            <w:pPr>
              <w:spacing w:after="0" w:before="0" w:line="252" w:lineRule="auto"/>
              <w:jc w:val="center"/>
            </w:pPr>
            <w:r>
              <w:rPr>
                <w:b/>
                <w:color w:val="FFFFFF"/>
                <w:sz w:val="18"/>
              </w:rPr>
              <w:t>Shift C</w:t>
            </w:r>
          </w:p>
        </w:tc>
        <w:tc>
          <w:tcPr>
            <w:tcW w:type="dxa" w:w="1656"/>
            <w:vAlign w:val="center"/>
            <w:tcMar>
              <w:top w:w="75" w:type="dxa"/>
              <w:left w:w="75" w:type="dxa"/>
              <w:bottom w:w="75" w:type="dxa"/>
              <w:right w:w="75" w:type="dxa"/>
            </w:tcMar>
            <w:shd w:fill="173B57"/>
          </w:tcPr>
          <w:p>
            <w:pPr>
              <w:spacing w:after="0" w:before="0" w:line="252" w:lineRule="auto"/>
              <w:jc w:val="center"/>
            </w:pPr>
            <w:r>
              <w:rPr>
                <w:b/>
                <w:color w:val="FFFFFF"/>
                <w:sz w:val="18"/>
              </w:rPr>
              <w:t>Day</w:t>
            </w:r>
          </w:p>
        </w:tc>
      </w:tr>
      <w:tr>
        <w:trPr>
          <w:cantSplit/>
        </w:trPr>
        <w:tc>
          <w:tcPr>
            <w:tcW w:type="dxa" w:w="3168"/>
            <w:vAlign w:val="center"/>
            <w:tcMar>
              <w:top w:w="75" w:type="dxa"/>
              <w:left w:w="75" w:type="dxa"/>
              <w:bottom w:w="75" w:type="dxa"/>
              <w:right w:w="75" w:type="dxa"/>
            </w:tcMar>
            <w:shd w:fill="F1F5F7"/>
          </w:tcPr>
          <w:p>
            <w:pPr>
              <w:spacing w:after="0" w:before="0" w:line="252" w:lineRule="auto"/>
            </w:pPr>
            <w:r>
              <w:rPr>
                <w:b w:val="0"/>
                <w:color w:val="000000"/>
                <w:sz w:val="18"/>
              </w:rPr>
              <w:t>Plan target t</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224</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224</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224</w:t>
            </w:r>
          </w:p>
        </w:tc>
        <w:tc>
          <w:tcPr>
            <w:tcW w:type="dxa" w:w="1656"/>
            <w:vAlign w:val="center"/>
            <w:tcMar>
              <w:top w:w="75" w:type="dxa"/>
              <w:left w:w="75" w:type="dxa"/>
              <w:bottom w:w="75" w:type="dxa"/>
              <w:right w:w="75" w:type="dxa"/>
            </w:tcMar>
            <w:shd w:fill="F1F5F7"/>
          </w:tcPr>
          <w:p>
            <w:pPr>
              <w:spacing w:after="0" w:before="0" w:line="252" w:lineRule="auto"/>
              <w:jc w:val="center"/>
            </w:pPr>
            <w:r>
              <w:rPr>
                <w:b w:val="0"/>
                <w:color w:val="000000"/>
                <w:sz w:val="18"/>
              </w:rPr>
              <w:t>672</w:t>
            </w:r>
          </w:p>
        </w:tc>
      </w:tr>
      <w:tr>
        <w:trPr>
          <w:cantSplit/>
        </w:trPr>
        <w:tc>
          <w:tcPr>
            <w:tcW w:type="dxa" w:w="3168"/>
            <w:vAlign w:val="center"/>
            <w:tcMar>
              <w:top w:w="75" w:type="dxa"/>
              <w:left w:w="75" w:type="dxa"/>
              <w:bottom w:w="75" w:type="dxa"/>
              <w:right w:w="75" w:type="dxa"/>
            </w:tcMar>
            <w:shd w:fill="FFFFFF"/>
          </w:tcPr>
          <w:p>
            <w:pPr>
              <w:spacing w:after="0" w:before="0" w:line="252" w:lineRule="auto"/>
            </w:pPr>
            <w:r>
              <w:rPr>
                <w:b w:val="0"/>
                <w:color w:val="000000"/>
                <w:sz w:val="18"/>
              </w:rPr>
              <w:t>Scheduled hours</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8</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8</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8</w:t>
            </w:r>
          </w:p>
        </w:tc>
        <w:tc>
          <w:tcPr>
            <w:tcW w:type="dxa" w:w="1656"/>
            <w:vAlign w:val="center"/>
            <w:tcMar>
              <w:top w:w="75" w:type="dxa"/>
              <w:left w:w="75" w:type="dxa"/>
              <w:bottom w:w="75" w:type="dxa"/>
              <w:right w:w="75" w:type="dxa"/>
            </w:tcMar>
            <w:shd w:fill="FFFFFF"/>
          </w:tcPr>
          <w:p>
            <w:pPr>
              <w:spacing w:after="0" w:before="0" w:line="252" w:lineRule="auto"/>
              <w:jc w:val="center"/>
            </w:pPr>
            <w:r>
              <w:rPr>
                <w:b w:val="0"/>
                <w:color w:val="000000"/>
                <w:sz w:val="18"/>
              </w:rPr>
              <w:t>24</w:t>
            </w:r>
          </w:p>
        </w:tc>
      </w:tr>
      <w:tr>
        <w:trPr>
          <w:cantSplit/>
        </w:trPr>
        <w:tc>
          <w:tcPr>
            <w:tcW w:type="dxa" w:w="3168"/>
            <w:vAlign w:val="center"/>
            <w:tcMar>
              <w:top w:w="75" w:type="dxa"/>
              <w:left w:w="75" w:type="dxa"/>
              <w:bottom w:w="75" w:type="dxa"/>
              <w:right w:w="75" w:type="dxa"/>
            </w:tcMar>
            <w:shd w:fill="F1F5F7"/>
          </w:tcPr>
          <w:p>
            <w:pPr>
              <w:spacing w:after="0" w:before="0" w:line="252" w:lineRule="auto"/>
            </w:pPr>
            <w:r>
              <w:rPr>
                <w:b w:val="0"/>
                <w:color w:val="000000"/>
                <w:sz w:val="18"/>
              </w:rPr>
              <w:t>Stopped hours</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1</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0</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0.5</w:t>
            </w:r>
          </w:p>
        </w:tc>
        <w:tc>
          <w:tcPr>
            <w:tcW w:type="dxa" w:w="1656"/>
            <w:vAlign w:val="center"/>
            <w:tcMar>
              <w:top w:w="75" w:type="dxa"/>
              <w:left w:w="75" w:type="dxa"/>
              <w:bottom w:w="75" w:type="dxa"/>
              <w:right w:w="75" w:type="dxa"/>
            </w:tcMar>
            <w:shd w:fill="F1F5F7"/>
          </w:tcPr>
          <w:p>
            <w:pPr>
              <w:spacing w:after="0" w:before="0" w:line="252" w:lineRule="auto"/>
              <w:jc w:val="center"/>
            </w:pPr>
            <w:r>
              <w:rPr>
                <w:b w:val="0"/>
                <w:color w:val="000000"/>
                <w:sz w:val="18"/>
              </w:rPr>
              <w:t>1.5</w:t>
            </w:r>
          </w:p>
        </w:tc>
      </w:tr>
      <w:tr>
        <w:trPr>
          <w:cantSplit/>
        </w:trPr>
        <w:tc>
          <w:tcPr>
            <w:tcW w:type="dxa" w:w="3168"/>
            <w:vAlign w:val="center"/>
            <w:tcMar>
              <w:top w:w="75" w:type="dxa"/>
              <w:left w:w="75" w:type="dxa"/>
              <w:bottom w:w="75" w:type="dxa"/>
              <w:right w:w="75" w:type="dxa"/>
            </w:tcMar>
            <w:shd w:fill="FFFFFF"/>
          </w:tcPr>
          <w:p>
            <w:pPr>
              <w:spacing w:after="0" w:before="0" w:line="252" w:lineRule="auto"/>
            </w:pPr>
            <w:r>
              <w:rPr>
                <w:b w:val="0"/>
                <w:color w:val="000000"/>
                <w:sz w:val="18"/>
              </w:rPr>
              <w:t>Running hours</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7</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8</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7.5</w:t>
            </w:r>
          </w:p>
        </w:tc>
        <w:tc>
          <w:tcPr>
            <w:tcW w:type="dxa" w:w="1656"/>
            <w:vAlign w:val="center"/>
            <w:tcMar>
              <w:top w:w="75" w:type="dxa"/>
              <w:left w:w="75" w:type="dxa"/>
              <w:bottom w:w="75" w:type="dxa"/>
              <w:right w:w="75" w:type="dxa"/>
            </w:tcMar>
            <w:shd w:fill="FFFFFF"/>
          </w:tcPr>
          <w:p>
            <w:pPr>
              <w:spacing w:after="0" w:before="0" w:line="252" w:lineRule="auto"/>
              <w:jc w:val="center"/>
            </w:pPr>
            <w:r>
              <w:rPr>
                <w:b w:val="0"/>
                <w:color w:val="000000"/>
                <w:sz w:val="18"/>
              </w:rPr>
              <w:t>22.5</w:t>
            </w:r>
          </w:p>
        </w:tc>
      </w:tr>
      <w:tr>
        <w:trPr>
          <w:cantSplit/>
        </w:trPr>
        <w:tc>
          <w:tcPr>
            <w:tcW w:type="dxa" w:w="3168"/>
            <w:vAlign w:val="center"/>
            <w:tcMar>
              <w:top w:w="75" w:type="dxa"/>
              <w:left w:w="75" w:type="dxa"/>
              <w:bottom w:w="75" w:type="dxa"/>
              <w:right w:w="75" w:type="dxa"/>
            </w:tcMar>
            <w:shd w:fill="F1F5F7"/>
          </w:tcPr>
          <w:p>
            <w:pPr>
              <w:spacing w:after="0" w:before="0" w:line="252" w:lineRule="auto"/>
            </w:pPr>
            <w:r>
              <w:rPr>
                <w:b w:val="0"/>
                <w:color w:val="000000"/>
                <w:sz w:val="18"/>
              </w:rPr>
              <w:t>Gross output t</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192</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224</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210</w:t>
            </w:r>
          </w:p>
        </w:tc>
        <w:tc>
          <w:tcPr>
            <w:tcW w:type="dxa" w:w="1656"/>
            <w:vAlign w:val="center"/>
            <w:tcMar>
              <w:top w:w="75" w:type="dxa"/>
              <w:left w:w="75" w:type="dxa"/>
              <w:bottom w:w="75" w:type="dxa"/>
              <w:right w:w="75" w:type="dxa"/>
            </w:tcMar>
            <w:shd w:fill="F1F5F7"/>
          </w:tcPr>
          <w:p>
            <w:pPr>
              <w:spacing w:after="0" w:before="0" w:line="252" w:lineRule="auto"/>
              <w:jc w:val="center"/>
            </w:pPr>
            <w:r>
              <w:rPr>
                <w:b w:val="0"/>
                <w:color w:val="000000"/>
                <w:sz w:val="18"/>
              </w:rPr>
              <w:t>626</w:t>
            </w:r>
          </w:p>
        </w:tc>
      </w:tr>
      <w:tr>
        <w:trPr>
          <w:cantSplit/>
        </w:trPr>
        <w:tc>
          <w:tcPr>
            <w:tcW w:type="dxa" w:w="3168"/>
            <w:vAlign w:val="center"/>
            <w:tcMar>
              <w:top w:w="75" w:type="dxa"/>
              <w:left w:w="75" w:type="dxa"/>
              <w:bottom w:w="75" w:type="dxa"/>
              <w:right w:w="75" w:type="dxa"/>
            </w:tcMar>
            <w:shd w:fill="FFFFFF"/>
          </w:tcPr>
          <w:p>
            <w:pPr>
              <w:spacing w:after="0" w:before="0" w:line="252" w:lineRule="auto"/>
            </w:pPr>
            <w:r>
              <w:rPr>
                <w:b w:val="0"/>
                <w:color w:val="000000"/>
                <w:sz w:val="18"/>
              </w:rPr>
              <w:t>Quality loss t</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2</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1</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1</w:t>
            </w:r>
          </w:p>
        </w:tc>
        <w:tc>
          <w:tcPr>
            <w:tcW w:type="dxa" w:w="1656"/>
            <w:vAlign w:val="center"/>
            <w:tcMar>
              <w:top w:w="75" w:type="dxa"/>
              <w:left w:w="75" w:type="dxa"/>
              <w:bottom w:w="75" w:type="dxa"/>
              <w:right w:w="75" w:type="dxa"/>
            </w:tcMar>
            <w:shd w:fill="FFFFFF"/>
          </w:tcPr>
          <w:p>
            <w:pPr>
              <w:spacing w:after="0" w:before="0" w:line="252" w:lineRule="auto"/>
              <w:jc w:val="center"/>
            </w:pPr>
            <w:r>
              <w:rPr>
                <w:b w:val="0"/>
                <w:color w:val="000000"/>
                <w:sz w:val="18"/>
              </w:rPr>
              <w:t>4</w:t>
            </w:r>
          </w:p>
        </w:tc>
      </w:tr>
      <w:tr>
        <w:trPr>
          <w:cantSplit/>
        </w:trPr>
        <w:tc>
          <w:tcPr>
            <w:tcW w:type="dxa" w:w="3168"/>
            <w:vAlign w:val="center"/>
            <w:tcMar>
              <w:top w:w="75" w:type="dxa"/>
              <w:left w:w="75" w:type="dxa"/>
              <w:bottom w:w="75" w:type="dxa"/>
              <w:right w:w="75" w:type="dxa"/>
            </w:tcMar>
            <w:shd w:fill="F1F5F7"/>
          </w:tcPr>
          <w:p>
            <w:pPr>
              <w:spacing w:after="0" w:before="0" w:line="252" w:lineRule="auto"/>
            </w:pPr>
            <w:r>
              <w:rPr>
                <w:b w:val="0"/>
                <w:color w:val="000000"/>
                <w:sz w:val="18"/>
              </w:rPr>
              <w:t>Good output t</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190</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223</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209</w:t>
            </w:r>
          </w:p>
        </w:tc>
        <w:tc>
          <w:tcPr>
            <w:tcW w:type="dxa" w:w="1656"/>
            <w:vAlign w:val="center"/>
            <w:tcMar>
              <w:top w:w="75" w:type="dxa"/>
              <w:left w:w="75" w:type="dxa"/>
              <w:bottom w:w="75" w:type="dxa"/>
              <w:right w:w="75" w:type="dxa"/>
            </w:tcMar>
            <w:shd w:fill="F1F5F7"/>
          </w:tcPr>
          <w:p>
            <w:pPr>
              <w:spacing w:after="0" w:before="0" w:line="252" w:lineRule="auto"/>
              <w:jc w:val="center"/>
            </w:pPr>
            <w:r>
              <w:rPr>
                <w:b w:val="0"/>
                <w:color w:val="000000"/>
                <w:sz w:val="18"/>
              </w:rPr>
              <w:t>622</w:t>
            </w:r>
          </w:p>
        </w:tc>
      </w:tr>
      <w:tr>
        <w:trPr>
          <w:cantSplit/>
        </w:trPr>
        <w:tc>
          <w:tcPr>
            <w:tcW w:type="dxa" w:w="3168"/>
            <w:vAlign w:val="center"/>
            <w:tcMar>
              <w:top w:w="75" w:type="dxa"/>
              <w:left w:w="75" w:type="dxa"/>
              <w:bottom w:w="75" w:type="dxa"/>
              <w:right w:w="75" w:type="dxa"/>
            </w:tcMar>
            <w:shd w:fill="FFFFFF"/>
          </w:tcPr>
          <w:p>
            <w:pPr>
              <w:spacing w:after="0" w:before="0" w:line="252" w:lineRule="auto"/>
            </w:pPr>
            <w:r>
              <w:rPr>
                <w:b w:val="0"/>
                <w:color w:val="000000"/>
                <w:sz w:val="18"/>
              </w:rPr>
              <w:t>Availability loss t</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28</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0</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14</w:t>
            </w:r>
          </w:p>
        </w:tc>
        <w:tc>
          <w:tcPr>
            <w:tcW w:type="dxa" w:w="1656"/>
            <w:vAlign w:val="center"/>
            <w:tcMar>
              <w:top w:w="75" w:type="dxa"/>
              <w:left w:w="75" w:type="dxa"/>
              <w:bottom w:w="75" w:type="dxa"/>
              <w:right w:w="75" w:type="dxa"/>
            </w:tcMar>
            <w:shd w:fill="FFFFFF"/>
          </w:tcPr>
          <w:p>
            <w:pPr>
              <w:spacing w:after="0" w:before="0" w:line="252" w:lineRule="auto"/>
              <w:jc w:val="center"/>
            </w:pPr>
            <w:r>
              <w:rPr>
                <w:b w:val="0"/>
                <w:color w:val="000000"/>
                <w:sz w:val="18"/>
              </w:rPr>
              <w:t>42</w:t>
            </w:r>
          </w:p>
        </w:tc>
      </w:tr>
      <w:tr>
        <w:trPr>
          <w:cantSplit/>
        </w:trPr>
        <w:tc>
          <w:tcPr>
            <w:tcW w:type="dxa" w:w="3168"/>
            <w:vAlign w:val="center"/>
            <w:tcMar>
              <w:top w:w="75" w:type="dxa"/>
              <w:left w:w="75" w:type="dxa"/>
              <w:bottom w:w="75" w:type="dxa"/>
              <w:right w:w="75" w:type="dxa"/>
            </w:tcMar>
            <w:shd w:fill="F1F5F7"/>
          </w:tcPr>
          <w:p>
            <w:pPr>
              <w:spacing w:after="0" w:before="0" w:line="252" w:lineRule="auto"/>
            </w:pPr>
            <w:r>
              <w:rPr>
                <w:b w:val="0"/>
                <w:color w:val="000000"/>
                <w:sz w:val="18"/>
              </w:rPr>
              <w:t>Performance loss t</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4</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0</w:t>
            </w:r>
          </w:p>
        </w:tc>
        <w:tc>
          <w:tcPr>
            <w:tcW w:type="dxa" w:w="1670"/>
            <w:vAlign w:val="center"/>
            <w:tcMar>
              <w:top w:w="75" w:type="dxa"/>
              <w:left w:w="75" w:type="dxa"/>
              <w:bottom w:w="75" w:type="dxa"/>
              <w:right w:w="75" w:type="dxa"/>
            </w:tcMar>
            <w:shd w:fill="F1F5F7"/>
          </w:tcPr>
          <w:p>
            <w:pPr>
              <w:spacing w:after="0" w:before="0" w:line="252" w:lineRule="auto"/>
              <w:jc w:val="center"/>
            </w:pPr>
            <w:r>
              <w:rPr>
                <w:b w:val="0"/>
                <w:color w:val="000000"/>
                <w:sz w:val="18"/>
              </w:rPr>
              <w:t>0</w:t>
            </w:r>
          </w:p>
        </w:tc>
        <w:tc>
          <w:tcPr>
            <w:tcW w:type="dxa" w:w="1656"/>
            <w:vAlign w:val="center"/>
            <w:tcMar>
              <w:top w:w="75" w:type="dxa"/>
              <w:left w:w="75" w:type="dxa"/>
              <w:bottom w:w="75" w:type="dxa"/>
              <w:right w:w="75" w:type="dxa"/>
            </w:tcMar>
            <w:shd w:fill="F1F5F7"/>
          </w:tcPr>
          <w:p>
            <w:pPr>
              <w:spacing w:after="0" w:before="0" w:line="252" w:lineRule="auto"/>
              <w:jc w:val="center"/>
            </w:pPr>
            <w:r>
              <w:rPr>
                <w:b w:val="0"/>
                <w:color w:val="000000"/>
                <w:sz w:val="18"/>
              </w:rPr>
              <w:t>4</w:t>
            </w:r>
          </w:p>
        </w:tc>
      </w:tr>
      <w:tr>
        <w:trPr>
          <w:cantSplit/>
        </w:trPr>
        <w:tc>
          <w:tcPr>
            <w:tcW w:type="dxa" w:w="3168"/>
            <w:vAlign w:val="center"/>
            <w:tcMar>
              <w:top w:w="75" w:type="dxa"/>
              <w:left w:w="75" w:type="dxa"/>
              <w:bottom w:w="75" w:type="dxa"/>
              <w:right w:w="75" w:type="dxa"/>
            </w:tcMar>
            <w:shd w:fill="FFFFFF"/>
          </w:tcPr>
          <w:p>
            <w:pPr>
              <w:spacing w:after="0" w:before="0" w:line="252" w:lineRule="auto"/>
            </w:pPr>
            <w:r>
              <w:rPr>
                <w:b w:val="0"/>
                <w:color w:val="000000"/>
                <w:sz w:val="18"/>
              </w:rPr>
              <w:t>Total loss t</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34</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1</w:t>
            </w:r>
          </w:p>
        </w:tc>
        <w:tc>
          <w:tcPr>
            <w:tcW w:type="dxa" w:w="1670"/>
            <w:vAlign w:val="center"/>
            <w:tcMar>
              <w:top w:w="75" w:type="dxa"/>
              <w:left w:w="75" w:type="dxa"/>
              <w:bottom w:w="75" w:type="dxa"/>
              <w:right w:w="75" w:type="dxa"/>
            </w:tcMar>
            <w:shd w:fill="FFFFFF"/>
          </w:tcPr>
          <w:p>
            <w:pPr>
              <w:spacing w:after="0" w:before="0" w:line="252" w:lineRule="auto"/>
              <w:jc w:val="center"/>
            </w:pPr>
            <w:r>
              <w:rPr>
                <w:b w:val="0"/>
                <w:color w:val="000000"/>
                <w:sz w:val="18"/>
              </w:rPr>
              <w:t>15</w:t>
            </w:r>
          </w:p>
        </w:tc>
        <w:tc>
          <w:tcPr>
            <w:tcW w:type="dxa" w:w="1656"/>
            <w:vAlign w:val="center"/>
            <w:tcMar>
              <w:top w:w="75" w:type="dxa"/>
              <w:left w:w="75" w:type="dxa"/>
              <w:bottom w:w="75" w:type="dxa"/>
              <w:right w:w="75" w:type="dxa"/>
            </w:tcMar>
            <w:shd w:fill="FFFFFF"/>
          </w:tcPr>
          <w:p>
            <w:pPr>
              <w:spacing w:after="0" w:before="0" w:line="252" w:lineRule="auto"/>
              <w:jc w:val="center"/>
            </w:pPr>
            <w:r>
              <w:rPr>
                <w:b w:val="0"/>
                <w:color w:val="000000"/>
                <w:sz w:val="18"/>
              </w:rPr>
              <w:t>50</w:t>
            </w:r>
          </w:p>
        </w:tc>
      </w:tr>
    </w:tbl>
    <w:p>
      <w:pPr>
        <w:spacing w:after="20"/>
      </w:pPr>
    </w:p>
    <w:p>
      <w:r>
        <w:rPr>
          <w:b w:val="0"/>
        </w:rPr>
        <w:t xml:space="preserve">The day reconciles as </w:t>
      </w:r>
      <w:r>
        <w:rPr>
          <w:b/>
        </w:rPr>
        <w:t>672 − 42 − 4 − 4 = 622 t</w:t>
      </w:r>
      <w:r>
        <w:rPr>
          <w:b w:val="0"/>
        </w:rPr>
        <w:t xml:space="preserve">. If all explanation lines are accepted, the plan residual is zero. The day’s plan achievement is 622 / 672 = </w:t>
      </w:r>
      <w:r>
        <w:rPr>
          <w:b/>
        </w:rPr>
        <w:t>92.5595%</w:t>
      </w:r>
      <w:r>
        <w:rPr>
          <w:b w:val="0"/>
        </w:rPr>
        <w:t>.</w:t>
      </w:r>
    </w:p>
    <w:p>
      <w:r>
        <w:rPr>
          <w:b w:val="0"/>
        </w:rPr>
        <w:t xml:space="preserve">Calculate the day’s availability as 22.5 / 24 = </w:t>
      </w:r>
      <w:r>
        <w:rPr>
          <w:b/>
        </w:rPr>
        <w:t>93.7500%</w:t>
      </w:r>
      <w:r>
        <w:rPr>
          <w:b w:val="0"/>
        </w:rPr>
        <w:t xml:space="preserve">. Performance is 626 / 630 = </w:t>
      </w:r>
      <w:r>
        <w:rPr>
          <w:b/>
        </w:rPr>
        <w:t>99.3651%</w:t>
      </w:r>
      <w:r>
        <w:rPr>
          <w:b w:val="0"/>
        </w:rPr>
        <w:t xml:space="preserve">. Quality is 622 / 626 = </w:t>
      </w:r>
      <w:r>
        <w:rPr>
          <w:b/>
        </w:rPr>
        <w:t>99.3610%</w:t>
      </w:r>
      <w:r>
        <w:rPr>
          <w:b w:val="0"/>
        </w:rPr>
        <w:t xml:space="preserve">. Their product gives operational OEE of </w:t>
      </w:r>
      <w:r>
        <w:rPr>
          <w:b/>
        </w:rPr>
        <w:t>92.5595%</w:t>
      </w:r>
      <w:r>
        <w:rPr>
          <w:b w:val="0"/>
        </w:rPr>
        <w:t>.</w:t>
      </w:r>
    </w:p>
    <w:p>
      <w:pPr>
        <w:pStyle w:val="Heading2"/>
      </w:pPr>
      <w:r>
        <w:t>Why averaging can fail</w:t>
      </w:r>
    </w:p>
    <w:p>
      <w:r>
        <w:rPr>
          <w:b w:val="0"/>
        </w:rPr>
        <w:t>In this particular day, the three OEE opportunity denominators are equal, so an average of exact shift OEE values happens to agree. That coincidence does not justify averaging percentages generally.</w:t>
      </w:r>
    </w:p>
    <w:p>
      <w:r>
        <w:rPr>
          <w:b w:val="0"/>
        </w:rPr>
        <w:t xml:space="preserve">For example, a 100 t opportunity with 90 t good and a 200 t opportunity with 160 t good produce 90% and 80%. Their aggregate is 250 / 300 = </w:t>
      </w:r>
      <w:r>
        <w:rPr>
          <w:b/>
        </w:rPr>
        <w:t>83.3333%</w:t>
      </w:r>
      <w:r>
        <w:rPr>
          <w:b w:val="0"/>
        </w:rPr>
        <w:t>, not the unweighted average of 85%.</w:t>
      </w:r>
    </w:p>
    <w:p>
      <w:r>
        <w:rPr>
          <w:b w:val="0"/>
        </w:rPr>
        <w:t>All three shifts must pass their reconciliation and approval gates before the production day is certified. A saved draft or a zero residual in one shift does not certify the complete day. Revising a contributing approved shift can reopen the day’s certification. [A2]</w:t>
      </w:r>
    </w:p>
    <w:p>
      <w:r>
        <w:br w:type="page"/>
      </w:r>
    </w:p>
    <w:p>
      <w:pPr>
        <w:pStyle w:val="Heading1"/>
      </w:pPr>
      <w:r>
        <w:t>17 Analyze downtime and reliability</w:t>
      </w:r>
    </w:p>
    <w:p>
      <w:r>
        <w:rPr>
          <w:b w:val="0"/>
        </w:rPr>
        <w:t xml:space="preserve">Open </w:t>
      </w:r>
      <w:r>
        <w:rPr>
          <w:b/>
        </w:rPr>
        <w:t>Downtime analysis</w:t>
      </w:r>
      <w:r>
        <w:rPr>
          <w:b w:val="0"/>
        </w:rPr>
        <w:t xml:space="preserve"> for the training unit and exact shift window. Review duration and frequency separately, then drill into the corresponding event. Select product, shift, crew, schedule class, micro-stop inclusion and approval state deliberately. [A1, A6]</w:t>
      </w:r>
    </w:p>
    <w:p>
      <w:r>
        <w:rPr>
          <w:b w:val="0"/>
        </w:rPr>
        <w:t>For the baseline shift, one gearbox stop lasts 60 minutes. Its capacity impact is 28 t at 28 t/h. The rate deficit is another 4 t, but it is not another actual stopped interval. Equivalent downtime can express fractional capacity loss in time units; keep it separately labelled.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Reliability measure</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Required evidence</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Baseline result</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Stop count</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Distinct qualifying occurrences starting in the window</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1</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Mean downtime to restore</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Full duration of qualifying restored failures</w:t>
            </w:r>
          </w:p>
        </w:tc>
        <w:tc>
          <w:tcPr>
            <w:tcW w:type="dxa" w:w="3528"/>
            <w:vAlign w:val="center"/>
            <w:tcMar>
              <w:top w:w="75" w:type="dxa"/>
              <w:left w:w="75" w:type="dxa"/>
              <w:bottom w:w="75" w:type="dxa"/>
              <w:right w:w="75" w:type="dxa"/>
            </w:tcMar>
            <w:shd w:fill="FFFFFF"/>
          </w:tcPr>
          <w:p>
            <w:pPr>
              <w:spacing w:after="0" w:before="0" w:line="252" w:lineRule="auto"/>
              <w:jc w:val="center"/>
            </w:pPr>
            <w:r>
              <w:rPr>
                <w:b w:val="0"/>
                <w:color w:val="000000"/>
                <w:sz w:val="18"/>
              </w:rPr>
              <w:t>1 h</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MTBF</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Running exposure / qualifying failures</w:t>
            </w:r>
          </w:p>
        </w:tc>
        <w:tc>
          <w:tcPr>
            <w:tcW w:type="dxa" w:w="3528"/>
            <w:vAlign w:val="center"/>
            <w:tcMar>
              <w:top w:w="75" w:type="dxa"/>
              <w:left w:w="75" w:type="dxa"/>
              <w:bottom w:w="75" w:type="dxa"/>
              <w:right w:w="75" w:type="dxa"/>
            </w:tcMar>
            <w:shd w:fill="F1F5F7"/>
          </w:tcPr>
          <w:p>
            <w:pPr>
              <w:spacing w:after="0" w:before="0" w:line="252" w:lineRule="auto"/>
              <w:jc w:val="center"/>
            </w:pPr>
            <w:r>
              <w:rPr>
                <w:b w:val="0"/>
                <w:color w:val="000000"/>
                <w:sz w:val="18"/>
              </w:rPr>
              <w:t>7 h / 1 = 7 h</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MTTR</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Active repair time / completed failures with repair evidence</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Unavailable without repair timestamps</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Coded downtime ratio</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Allocated downtime with a reason / all allocated downtime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100% if the stop is correctly reason-coded</w:t>
            </w:r>
          </w:p>
        </w:tc>
      </w:tr>
    </w:tbl>
    <w:p>
      <w:pPr>
        <w:spacing w:after="20"/>
      </w:pPr>
    </w:p>
    <w:p>
      <w:r>
        <w:rPr>
          <w:b w:val="0"/>
        </w:rPr>
        <w:t>MTBF means mean time between failures. The single-shift ratio is an observed exposure measure, not a trustworthy long-term reliability prediction. With no qualifying failures, report exposure and zero failures; do not declare infinite reliability.</w:t>
      </w:r>
    </w:p>
    <w:p>
      <w:pPr>
        <w:pStyle w:val="Heading2"/>
      </w:pPr>
      <w:r>
        <w:t>Distinguish repair and restoration</w:t>
      </w:r>
    </w:p>
    <w:p>
      <w:r>
        <w:rPr>
          <w:b w:val="0"/>
        </w:rPr>
        <w:t>As an additional assumption, suppose active repair runs from 08:10 to 08:40, while full production resumes at 09:00. The active repair duration is 30 minutes. Total downtime is 60 minutes because diagnosis, preparation and restart also consume time. An MTTR based on active repair must not be replaced by the full outage duration.</w:t>
      </w:r>
    </w:p>
    <w:p>
      <w:pPr>
        <w:pStyle w:val="Heading2"/>
      </w:pPr>
      <w:r>
        <w:t>Compare equivalent populations</w:t>
      </w:r>
    </w:p>
    <w:p>
      <w:r>
        <w:rPr>
          <w:b w:val="0"/>
        </w:rPr>
        <w:t>A failure starting before the window may contribute downtime but be a carry-in occurrence rather than a new failure count. Split fragments should not become several failures. Open repairs are excluded from completion-based means until the required restoration and repair evidence exists.</w:t>
      </w:r>
    </w:p>
    <w:p>
      <w:r>
        <w:rPr>
          <w:b w:val="0"/>
        </w:rPr>
        <w:t>Compare crews only after checking their grades, exposure, equipment condition and work assignment. A crew handling all difficult transitions may show more losses without causing them. A bad-actor ranking identifies where to investigate, not who is to blame.</w:t>
      </w:r>
    </w:p>
    <w:p>
      <w:r>
        <w:br w:type="page"/>
      </w:r>
    </w:p>
    <w:p>
      <w:pPr>
        <w:pStyle w:val="Heading1"/>
      </w:pPr>
      <w:r>
        <w:t>18 Handle overlapping stops and short interruptions</w:t>
      </w:r>
    </w:p>
    <w:p>
      <w:r>
        <w:rPr>
          <w:b w:val="0"/>
        </w:rPr>
        <w:t>These examples are separate variations, not additional losses to add to the baseline.</w:t>
      </w:r>
    </w:p>
    <w:p>
      <w:pPr>
        <w:pStyle w:val="Heading2"/>
      </w:pPr>
      <w:r>
        <w:t>Two causes overlap</w:t>
      </w:r>
    </w:p>
    <w:p>
      <w:r>
        <w:rPr>
          <w:b w:val="0"/>
        </w:rPr>
        <w:t xml:space="preserve">A gearbox stop runs 08:00 to 09:00. A utility interruption runs 08:30 to 09:30. The stopped-time union is 90 minutes, not 120 minutes. At 28 t/h, the physical availability loss is </w:t>
      </w:r>
      <w:r>
        <w:rPr>
          <w:b/>
        </w:rPr>
        <w:t>42 t</w:t>
      </w:r>
      <w:r>
        <w:rPr>
          <w:b w:val="0"/>
        </w:rPr>
        <w:t>, not 56 t.</w:t>
      </w:r>
    </w:p>
    <w:p>
      <w:r>
        <w:rPr>
          <w:b w:val="0"/>
        </w:rPr>
        <w:t>The allocation policy assigns the shared 08:30 to 09:00 segment once. For example, if evidence and policy assign that interval to the first initiating event, gearbox receives 60 minutes and utility receives 30 minutes. Another approved policy may allocate differently, but the union and total physical loss must remain consistent.</w:t>
      </w:r>
    </w:p>
    <w:p>
      <w:pPr>
        <w:pStyle w:val="Heading2"/>
      </w:pPr>
      <w:r>
        <w:t>A short stop becomes a performance component</w:t>
      </w:r>
    </w:p>
    <w:p>
      <w:r>
        <w:rPr>
          <w:b w:val="0"/>
        </w:rPr>
        <w:t xml:space="preserve">With a 60-second micro-stop threshold, an ordinary 30-second interruption is below threshold. In the documented policy it remains within running time and explains performance loss. Its maximum rate claim at 28 t/h is 28 × 30 / 3600 = </w:t>
      </w:r>
      <w:r>
        <w:rPr>
          <w:b/>
        </w:rPr>
        <w:t>0.233333 t</w:t>
      </w:r>
      <w:r>
        <w:rPr>
          <w:b w:val="0"/>
        </w:rPr>
        <w:t>.</w:t>
      </w:r>
    </w:p>
    <w:p>
      <w:r>
        <w:rPr>
          <w:b w:val="0"/>
        </w:rPr>
        <w:t>Exactly 60 seconds is not below the threshold. The full occurrence is tested, even when it crosses a shift boundary; splitting a 90-second occurrence into two 45-second fragments must not turn it into two micro-stops. Trip and critical or degraded failure rules can force availability treatment. Verify the approved policy. [A6]</w:t>
      </w:r>
    </w:p>
    <w:p>
      <w:pPr>
        <w:pStyle w:val="Heading2"/>
      </w:pPr>
      <w:r>
        <w:t>Fractional loss is not a full stop</w:t>
      </w:r>
    </w:p>
    <w:p>
      <w:r>
        <w:rPr>
          <w:b w:val="0"/>
        </w:rPr>
        <w:t xml:space="preserve">If an otherwise running line loses 25% of its 28 t/h capability for two hours, the supported claim is </w:t>
      </w:r>
      <w:r>
        <w:rPr>
          <w:b/>
        </w:rPr>
        <w:t>14 t</w:t>
      </w:r>
      <w:r>
        <w:rPr>
          <w:b w:val="0"/>
        </w:rPr>
        <w:t>, equivalent to 0.5 hours at the full rate. Actual stopped time remains zero. If the capacity calculation already contains that 14 t performance deficit, the event explains it rather than adding another 14 t.</w:t>
      </w:r>
    </w:p>
    <w:p>
      <w:pPr>
        <w:pStyle w:val="Heading2"/>
      </w:pPr>
      <w:r>
        <w:t>Standby protection</w:t>
      </w:r>
    </w:p>
    <w:p>
      <w:r>
        <w:rPr>
          <w:b w:val="0"/>
        </w:rPr>
        <w:t>If one duty device fails and a standby device maintains production, record the equipment failure and standby demand or test evidence. Do not create a full production stop merely because an equipment trip exists. Standby reliability needs its own duty, demand and test history.</w:t>
      </w:r>
    </w:p>
    <w:p>
      <w:r>
        <w:rPr>
          <w:b w:val="0"/>
        </w:rPr>
      </w:r>
      <w:r>
        <w:rPr>
          <w:b/>
        </w:rPr>
        <w:t>Checkpoint:</w:t>
      </w:r>
      <w:r>
        <w:rPr>
          <w:b w:val="0"/>
        </w:rPr>
        <w:t xml:space="preserve"> More event records do not necessarily mean more lost time. Source duplicates, overlapping causes and multiple affected assets must be reconciled to the physical production timeline.</w:t>
      </w:r>
    </w:p>
    <w:p>
      <w:r>
        <w:br w:type="page"/>
      </w:r>
    </w:p>
    <w:p>
      <w:pPr>
        <w:pStyle w:val="Heading1"/>
      </w:pPr>
      <w:r>
        <w:t>19 Treat planned stops and grade transitions consistently</w:t>
      </w:r>
    </w:p>
    <w:p>
      <w:r>
        <w:rPr>
          <w:b w:val="0"/>
        </w:rPr>
        <w:t>A planned interruption can still consume production opportunity. “Planned” describes scheduling; it does not automatically mean “excluded from OEE” or “zero loss.” The calendar and approved policies determine the treatment, and the report must disclose it.</w:t>
      </w:r>
    </w:p>
    <w:p>
      <w:pPr>
        <w:pStyle w:val="Heading2"/>
      </w:pPr>
      <w:r>
        <w:t>Planned maintenance inside a shift</w:t>
      </w:r>
    </w:p>
    <w:p>
      <w:r>
        <w:rPr>
          <w:b w:val="0"/>
        </w:rPr>
        <w:t>Consider an eight-hour Grade A window with two hours of maintenance and six perfect running hours. Good output is 168 t. If the two hours were explicitly excluded before scheduling, full capability is 224 t, excluded capability is 56 t and eligible opportunity is 168 t. OEE on that eligible opportunity is 100%, with the 56 t exclusion disclosed.</w:t>
      </w:r>
    </w:p>
    <w:p>
      <w:r>
        <w:rPr>
          <w:b w:val="0"/>
        </w:rPr>
        <w:t>If all eight hours remain scheduled and maintenance counts as an availability stop, availability and OEE are 75%. Both views describe 168 t good output. They answer different questions. Changing the denominator after seeing the result would make comparison misleading.</w:t>
      </w:r>
    </w:p>
    <w:p>
      <w:pPr>
        <w:pStyle w:val="Heading2"/>
      </w:pPr>
      <w:r>
        <w:t>Grade change example</w:t>
      </w:r>
    </w:p>
    <w:p>
      <w:r>
        <w:rPr>
          <w:b w:val="0"/>
        </w:rPr>
        <w:t>For a separate Grade A to Grade B transition, assume a standard 30-minute full-stop allowance followed by Grade B at 24 t/h. Use an eight-hour Grade B accounting window solely to isolate the transition arithmetic.</w:t>
      </w:r>
    </w:p>
    <w:p>
      <w:r>
        <w:rPr>
          <w:b w:val="0"/>
        </w:rPr>
        <w:t xml:space="preserve">If the plan already allows 30 minutes, its target is 7.5 h × 24 = </w:t>
      </w:r>
      <w:r>
        <w:rPr>
          <w:b/>
        </w:rPr>
        <w:t>180 t</w:t>
      </w:r>
      <w:r>
        <w:rPr>
          <w:b w:val="0"/>
        </w:rPr>
        <w:t xml:space="preserve">. If the actual transition takes 45 minutes and production thereafter is perfect, output is 7.25 h × 24 = </w:t>
      </w:r>
      <w:r>
        <w:rPr>
          <w:b/>
        </w:rPr>
        <w:t>174 t</w:t>
      </w:r>
      <w:r>
        <w:rPr>
          <w:b w:val="0"/>
        </w:rPr>
        <w:t xml:space="preserve">. The plan gap is </w:t>
      </w:r>
      <w:r>
        <w:rPr>
          <w:b/>
        </w:rPr>
        <w:t>6 t</w:t>
      </w:r>
      <w:r>
        <w:rPr>
          <w:b w:val="0"/>
        </w:rPr>
        <w:t>, caused by the extra 15 minutes. Charging the full 18 t transition loss to the plan would charge the standard allowance twice.</w:t>
      </w:r>
    </w:p>
    <w:p>
      <w:r>
        <w:rPr>
          <w:b w:val="0"/>
        </w:rPr>
        <w:t>The capacity view still starts from 192 t before any policy exclusion and can show 18 t unavailable during the transition. The exact availability, performance, exclusion and off-grade treatment must follow the approved transition model. This simple example assumes a full stop and no transition material; real grade changes often involve continued production of off-grade material.</w:t>
      </w:r>
    </w:p>
    <w:p>
      <w:pPr>
        <w:pStyle w:val="Heading2"/>
      </w:pPr>
      <w:r>
        <w:t>Configuration implication</w:t>
      </w:r>
    </w:p>
    <w:p>
      <w:r>
        <w:rPr>
          <w:b w:val="0"/>
        </w:rPr>
        <w:t>Maintain transition standards by the relevant from-grade, to-grade, catalyst and operating-mode keys. Confirm whether the plan has already deducted the standard time or quantity. Do not assume every grade pair needs the same allowance, or that transition time and transition off-grade are interchangeable. [A2, A6]</w:t>
      </w:r>
    </w:p>
    <w:p>
      <w:r>
        <w:br w:type="page"/>
      </w:r>
    </w:p>
    <w:p>
      <w:pPr>
        <w:pStyle w:val="Heading1"/>
      </w:pPr>
      <w:r>
        <w:t>20 Model buffers and multiple production streams</w:t>
      </w:r>
    </w:p>
    <w:p>
      <w:r>
        <w:rPr>
          <w:b w:val="0"/>
        </w:rPr>
        <w:t>The real HDPE process contains storage and routing choices. An interruption can affect a local function immediately and another function later. Material topology helps account for that delay, but the topology, usable inventory and flow rates must be validated. [P3, P4]</w:t>
      </w:r>
    </w:p>
    <w:p>
      <w:pPr>
        <w:pStyle w:val="Heading2"/>
      </w:pPr>
      <w:r>
        <w:t>Upstream interruption with buffer cover</w:t>
      </w:r>
    </w:p>
    <w:p>
      <w:r>
        <w:rPr>
          <w:b w:val="0"/>
        </w:rPr>
        <w:t>Assume an upstream powder supply stops for two hours. The extruder initially has 28 t of usable powder inventory and consumes 28 t/h. The buffer covers the first hour. The extruder is then starved for one hour, so its potential lost pellet output is 28 t if no other constraint or recovery applies.</w:t>
      </w:r>
    </w:p>
    <w:p>
      <w:r>
        <w:rPr>
          <w:b w:val="0"/>
        </w:rPr>
        <w:t>The upstream event lasts two hours; the downstream production stop lasts one. A buffer-level alarm alone does not prove either duration. Verify inventory, material suitability, actual flow and the downstream state. Suspect or quarantined inventory may not be usable.</w:t>
      </w:r>
    </w:p>
    <w:p>
      <w:r>
        <w:rPr>
          <w:b w:val="0"/>
        </w:rPr>
        <w:t>If a recorded extruder stop already covers the same hour, a derived starvation event must not add another hour. The application’s flow propagation gives recorded stops precedence. [A2]</w:t>
      </w:r>
    </w:p>
    <w:p>
      <w:pPr>
        <w:pStyle w:val="Heading2"/>
      </w:pPr>
      <w:r>
        <w:t>Avoid counting the same material twice</w:t>
      </w:r>
    </w:p>
    <w:p>
      <w:r>
        <w:rPr>
          <w:b w:val="0"/>
        </w:rPr>
        <w:t>Suppose the upstream stage reports 56 t of missing intermediate production and the extruder reports 28 t of missing finished product. Adding them and announcing an 84 t complex loss is generally invalid. They represent related material at different boundaries. Select a final product boundary and reconcile inventory and yield, or report stage opportunities separately without calling their sum site output loss.</w:t>
      </w:r>
    </w:p>
    <w:p>
      <w:pPr>
        <w:pStyle w:val="Heading2"/>
      </w:pPr>
      <w:r>
        <w:t>Parallel and shared capacity</w:t>
      </w:r>
    </w:p>
    <w:p>
      <w:r>
        <w:rPr>
          <w:b w:val="0"/>
        </w:rPr>
        <w:t>Two independent lines may produce in parallel, with separate product runs and rates. A shared service can constrain both, while a shared-capacity profile may limit the combined rate. Do not assign the full common capacity to each stream and then sum it twice.</w:t>
      </w:r>
    </w:p>
    <w:p>
      <w:r>
        <w:rPr>
          <w:b w:val="0"/>
        </w:rPr>
        <w:t>The supplied application supports Single stream, Shared capacity and Independent streams models. Concurrent streams are not combined into one operational OEE by the documented method. Preserve their units, production terms and policy context. [A6]</w:t>
      </w:r>
    </w:p>
    <w:p>
      <w:r>
        <w:rPr>
          <w:b w:val="0"/>
        </w:rPr>
        <w:t>Marun’s proposed event families include ProductionStop, ReducedRate, BufferConstraint, ServiceConstraint and OffSpec. These engineering families help identify evidence; they are not proof that corresponding live PI rules exist or that each event should create a separate additive PLA loss. [P4]</w:t>
      </w:r>
    </w:p>
    <w:p>
      <w:r>
        <w:br w:type="page"/>
      </w:r>
    </w:p>
    <w:p>
      <w:pPr>
        <w:pStyle w:val="Heading1"/>
      </w:pPr>
      <w:r>
        <w:t>21 Value losses without confusing money and tonnes</w:t>
      </w:r>
    </w:p>
    <w:p>
      <w:r>
        <w:rPr>
          <w:b w:val="0"/>
        </w:rPr>
        <w:t>Finance approves the valuation policy, effective rates, demand assumptions and currency conversion context. A quantity can be fully reconciled while its monetary value remains unavailable. Missing prices or FX must not appear as zero cost. [A2, A6]</w:t>
      </w:r>
    </w:p>
    <w:p>
      <w:r>
        <w:rPr>
          <w:b w:val="0"/>
        </w:rPr>
        <w:t xml:space="preserve">For the baseline, use the source example’s </w:t>
      </w:r>
      <w:r>
        <w:rPr>
          <w:b/>
        </w:rPr>
        <w:t>150 USD/t contribution margin</w:t>
      </w:r>
      <w:r>
        <w:rPr>
          <w:b w:val="0"/>
        </w:rPr>
        <w:t>. This is a teaching rate, not a Marun commercial value. Contribution margin is selling value less the variable costs defined by finance; it is not gross sales revenue. The following values the 34 t attributed loss at that margin.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944"/>
        <w:gridCol w:w="4147"/>
      </w:tblGrid>
      <w:tr>
        <w:trPr>
          <w:cantSplit/>
          <w:tblHeader/>
        </w:trPr>
        <w:tc>
          <w:tcPr>
            <w:tcW w:type="dxa" w:w="3744"/>
            <w:vAlign w:val="center"/>
            <w:tcMar>
              <w:top w:w="75" w:type="dxa"/>
              <w:left w:w="75" w:type="dxa"/>
              <w:bottom w:w="75" w:type="dxa"/>
              <w:right w:w="75" w:type="dxa"/>
            </w:tcMar>
            <w:shd w:fill="173B57"/>
          </w:tcPr>
          <w:p>
            <w:pPr>
              <w:spacing w:after="0" w:before="0" w:line="252" w:lineRule="auto"/>
              <w:jc w:val="center"/>
            </w:pPr>
            <w:r>
              <w:rPr>
                <w:b/>
                <w:color w:val="FFFFFF"/>
                <w:sz w:val="18"/>
              </w:rPr>
              <w:t>Component</w:t>
            </w:r>
          </w:p>
        </w:tc>
        <w:tc>
          <w:tcPr>
            <w:tcW w:type="dxa" w:w="1944"/>
            <w:vAlign w:val="center"/>
            <w:tcMar>
              <w:top w:w="75" w:type="dxa"/>
              <w:left w:w="75" w:type="dxa"/>
              <w:bottom w:w="75" w:type="dxa"/>
              <w:right w:w="75" w:type="dxa"/>
            </w:tcMar>
            <w:shd w:fill="173B57"/>
          </w:tcPr>
          <w:p>
            <w:pPr>
              <w:spacing w:after="0" w:before="0" w:line="252" w:lineRule="auto"/>
              <w:jc w:val="center"/>
            </w:pPr>
            <w:r>
              <w:rPr>
                <w:b/>
                <w:color w:val="FFFFFF"/>
                <w:sz w:val="18"/>
              </w:rPr>
              <w:t>Quantity</w:t>
            </w:r>
          </w:p>
        </w:tc>
        <w:tc>
          <w:tcPr>
            <w:tcW w:type="dxa" w:w="4147"/>
            <w:vAlign w:val="center"/>
            <w:tcMar>
              <w:top w:w="75" w:type="dxa"/>
              <w:left w:w="75" w:type="dxa"/>
              <w:bottom w:w="75" w:type="dxa"/>
              <w:right w:w="75" w:type="dxa"/>
            </w:tcMar>
            <w:shd w:fill="173B57"/>
          </w:tcPr>
          <w:p>
            <w:pPr>
              <w:spacing w:after="0" w:before="0" w:line="252" w:lineRule="auto"/>
              <w:jc w:val="center"/>
            </w:pPr>
            <w:r>
              <w:rPr>
                <w:b/>
                <w:color w:val="FFFFFF"/>
                <w:sz w:val="18"/>
              </w:rPr>
              <w:t>At 150 USD/t</w:t>
            </w:r>
          </w:p>
        </w:tc>
      </w:tr>
      <w:tr>
        <w:trPr>
          <w:cantSplit/>
        </w:trPr>
        <w:tc>
          <w:tcPr>
            <w:tcW w:type="dxa" w:w="3744"/>
            <w:vAlign w:val="center"/>
            <w:tcMar>
              <w:top w:w="75" w:type="dxa"/>
              <w:left w:w="75" w:type="dxa"/>
              <w:bottom w:w="75" w:type="dxa"/>
              <w:right w:w="75" w:type="dxa"/>
            </w:tcMar>
            <w:shd w:fill="F1F5F7"/>
          </w:tcPr>
          <w:p>
            <w:pPr>
              <w:spacing w:after="0" w:before="0" w:line="252" w:lineRule="auto"/>
            </w:pPr>
            <w:r>
              <w:rPr>
                <w:b w:val="0"/>
                <w:color w:val="000000"/>
                <w:sz w:val="18"/>
              </w:rPr>
              <w:t>Availability</w:t>
            </w:r>
          </w:p>
        </w:tc>
        <w:tc>
          <w:tcPr>
            <w:tcW w:type="dxa" w:w="1944"/>
            <w:vAlign w:val="center"/>
            <w:tcMar>
              <w:top w:w="75" w:type="dxa"/>
              <w:left w:w="75" w:type="dxa"/>
              <w:bottom w:w="75" w:type="dxa"/>
              <w:right w:w="75" w:type="dxa"/>
            </w:tcMar>
            <w:shd w:fill="F1F5F7"/>
          </w:tcPr>
          <w:p>
            <w:pPr>
              <w:spacing w:after="0" w:before="0" w:line="252" w:lineRule="auto"/>
              <w:jc w:val="center"/>
            </w:pPr>
            <w:r>
              <w:rPr>
                <w:b w:val="0"/>
                <w:color w:val="000000"/>
                <w:sz w:val="18"/>
              </w:rPr>
              <w:t>28 t</w:t>
            </w:r>
          </w:p>
        </w:tc>
        <w:tc>
          <w:tcPr>
            <w:tcW w:type="dxa" w:w="4147"/>
            <w:vAlign w:val="center"/>
            <w:tcMar>
              <w:top w:w="75" w:type="dxa"/>
              <w:left w:w="75" w:type="dxa"/>
              <w:bottom w:w="75" w:type="dxa"/>
              <w:right w:w="75" w:type="dxa"/>
            </w:tcMar>
            <w:shd w:fill="F1F5F7"/>
          </w:tcPr>
          <w:p>
            <w:pPr>
              <w:spacing w:after="0" w:before="0" w:line="252" w:lineRule="auto"/>
              <w:jc w:val="center"/>
            </w:pPr>
            <w:r>
              <w:rPr>
                <w:b w:val="0"/>
                <w:color w:val="000000"/>
                <w:sz w:val="18"/>
              </w:rPr>
              <w:t>USD 4,200</w:t>
            </w:r>
          </w:p>
        </w:tc>
      </w:tr>
      <w:tr>
        <w:trPr>
          <w:cantSplit/>
        </w:trPr>
        <w:tc>
          <w:tcPr>
            <w:tcW w:type="dxa" w:w="3744"/>
            <w:vAlign w:val="center"/>
            <w:tcMar>
              <w:top w:w="75" w:type="dxa"/>
              <w:left w:w="75" w:type="dxa"/>
              <w:bottom w:w="75" w:type="dxa"/>
              <w:right w:w="75" w:type="dxa"/>
            </w:tcMar>
            <w:shd w:fill="FFFFFF"/>
          </w:tcPr>
          <w:p>
            <w:pPr>
              <w:spacing w:after="0" w:before="0" w:line="252" w:lineRule="auto"/>
            </w:pPr>
            <w:r>
              <w:rPr>
                <w:b w:val="0"/>
                <w:color w:val="000000"/>
                <w:sz w:val="18"/>
              </w:rPr>
              <w:t>Performance</w:t>
            </w:r>
          </w:p>
        </w:tc>
        <w:tc>
          <w:tcPr>
            <w:tcW w:type="dxa" w:w="1944"/>
            <w:vAlign w:val="center"/>
            <w:tcMar>
              <w:top w:w="75" w:type="dxa"/>
              <w:left w:w="75" w:type="dxa"/>
              <w:bottom w:w="75" w:type="dxa"/>
              <w:right w:w="75" w:type="dxa"/>
            </w:tcMar>
            <w:shd w:fill="FFFFFF"/>
          </w:tcPr>
          <w:p>
            <w:pPr>
              <w:spacing w:after="0" w:before="0" w:line="252" w:lineRule="auto"/>
              <w:jc w:val="center"/>
            </w:pPr>
            <w:r>
              <w:rPr>
                <w:b w:val="0"/>
                <w:color w:val="000000"/>
                <w:sz w:val="18"/>
              </w:rPr>
              <w:t>4 t</w:t>
            </w:r>
          </w:p>
        </w:tc>
        <w:tc>
          <w:tcPr>
            <w:tcW w:type="dxa" w:w="4147"/>
            <w:vAlign w:val="center"/>
            <w:tcMar>
              <w:top w:w="75" w:type="dxa"/>
              <w:left w:w="75" w:type="dxa"/>
              <w:bottom w:w="75" w:type="dxa"/>
              <w:right w:w="75" w:type="dxa"/>
            </w:tcMar>
            <w:shd w:fill="FFFFFF"/>
          </w:tcPr>
          <w:p>
            <w:pPr>
              <w:spacing w:after="0" w:before="0" w:line="252" w:lineRule="auto"/>
              <w:jc w:val="center"/>
            </w:pPr>
            <w:r>
              <w:rPr>
                <w:b w:val="0"/>
                <w:color w:val="000000"/>
                <w:sz w:val="18"/>
              </w:rPr>
              <w:t>USD 600</w:t>
            </w:r>
          </w:p>
        </w:tc>
      </w:tr>
      <w:tr>
        <w:trPr>
          <w:cantSplit/>
        </w:trPr>
        <w:tc>
          <w:tcPr>
            <w:tcW w:type="dxa" w:w="3744"/>
            <w:vAlign w:val="center"/>
            <w:tcMar>
              <w:top w:w="75" w:type="dxa"/>
              <w:left w:w="75" w:type="dxa"/>
              <w:bottom w:w="75" w:type="dxa"/>
              <w:right w:w="75" w:type="dxa"/>
            </w:tcMar>
            <w:shd w:fill="F1F5F7"/>
          </w:tcPr>
          <w:p>
            <w:pPr>
              <w:spacing w:after="0" w:before="0" w:line="252" w:lineRule="auto"/>
            </w:pPr>
            <w:r>
              <w:rPr>
                <w:b w:val="0"/>
                <w:color w:val="000000"/>
                <w:sz w:val="18"/>
              </w:rPr>
              <w:t>Quality</w:t>
            </w:r>
          </w:p>
        </w:tc>
        <w:tc>
          <w:tcPr>
            <w:tcW w:type="dxa" w:w="1944"/>
            <w:vAlign w:val="center"/>
            <w:tcMar>
              <w:top w:w="75" w:type="dxa"/>
              <w:left w:w="75" w:type="dxa"/>
              <w:bottom w:w="75" w:type="dxa"/>
              <w:right w:w="75" w:type="dxa"/>
            </w:tcMar>
            <w:shd w:fill="F1F5F7"/>
          </w:tcPr>
          <w:p>
            <w:pPr>
              <w:spacing w:after="0" w:before="0" w:line="252" w:lineRule="auto"/>
              <w:jc w:val="center"/>
            </w:pPr>
            <w:r>
              <w:rPr>
                <w:b w:val="0"/>
                <w:color w:val="000000"/>
                <w:sz w:val="18"/>
              </w:rPr>
              <w:t>2 t</w:t>
            </w:r>
          </w:p>
        </w:tc>
        <w:tc>
          <w:tcPr>
            <w:tcW w:type="dxa" w:w="4147"/>
            <w:vAlign w:val="center"/>
            <w:tcMar>
              <w:top w:w="75" w:type="dxa"/>
              <w:left w:w="75" w:type="dxa"/>
              <w:bottom w:w="75" w:type="dxa"/>
              <w:right w:w="75" w:type="dxa"/>
            </w:tcMar>
            <w:shd w:fill="F1F5F7"/>
          </w:tcPr>
          <w:p>
            <w:pPr>
              <w:spacing w:after="0" w:before="0" w:line="252" w:lineRule="auto"/>
              <w:jc w:val="center"/>
            </w:pPr>
            <w:r>
              <w:rPr>
                <w:b w:val="0"/>
                <w:color w:val="000000"/>
                <w:sz w:val="18"/>
              </w:rPr>
              <w:t>USD 300</w:t>
            </w:r>
          </w:p>
        </w:tc>
      </w:tr>
      <w:tr>
        <w:trPr>
          <w:cantSplit/>
        </w:trPr>
        <w:tc>
          <w:tcPr>
            <w:tcW w:type="dxa" w:w="3744"/>
            <w:vAlign w:val="center"/>
            <w:tcMar>
              <w:top w:w="75" w:type="dxa"/>
              <w:left w:w="75" w:type="dxa"/>
              <w:bottom w:w="75" w:type="dxa"/>
              <w:right w:w="75" w:type="dxa"/>
            </w:tcMar>
            <w:shd w:fill="FFFFFF"/>
          </w:tcPr>
          <w:p>
            <w:pPr>
              <w:spacing w:after="0" w:before="0" w:line="252" w:lineRule="auto"/>
            </w:pPr>
            <w:r>
              <w:rPr>
                <w:b w:val="0"/>
                <w:color w:val="000000"/>
                <w:sz w:val="18"/>
              </w:rPr>
              <w:t>Total</w:t>
            </w:r>
          </w:p>
        </w:tc>
        <w:tc>
          <w:tcPr>
            <w:tcW w:type="dxa" w:w="1944"/>
            <w:vAlign w:val="center"/>
            <w:tcMar>
              <w:top w:w="75" w:type="dxa"/>
              <w:left w:w="75" w:type="dxa"/>
              <w:bottom w:w="75" w:type="dxa"/>
              <w:right w:w="75" w:type="dxa"/>
            </w:tcMar>
            <w:shd w:fill="FFFFFF"/>
          </w:tcPr>
          <w:p>
            <w:pPr>
              <w:spacing w:after="0" w:before="0" w:line="252" w:lineRule="auto"/>
              <w:jc w:val="center"/>
            </w:pPr>
            <w:r>
              <w:rPr>
                <w:b w:val="0"/>
                <w:color w:val="000000"/>
                <w:sz w:val="18"/>
              </w:rPr>
              <w:t>34 t</w:t>
            </w:r>
          </w:p>
        </w:tc>
        <w:tc>
          <w:tcPr>
            <w:tcW w:type="dxa" w:w="4147"/>
            <w:vAlign w:val="center"/>
            <w:tcMar>
              <w:top w:w="75" w:type="dxa"/>
              <w:left w:w="75" w:type="dxa"/>
              <w:bottom w:w="75" w:type="dxa"/>
              <w:right w:w="75" w:type="dxa"/>
            </w:tcMar>
            <w:shd w:fill="FFFFFF"/>
          </w:tcPr>
          <w:p>
            <w:pPr>
              <w:spacing w:after="0" w:before="0" w:line="252" w:lineRule="auto"/>
              <w:jc w:val="center"/>
            </w:pPr>
            <w:r>
              <w:rPr>
                <w:b w:val="0"/>
                <w:color w:val="000000"/>
                <w:sz w:val="18"/>
              </w:rPr>
              <w:t>USD 5,100</w:t>
            </w:r>
          </w:p>
        </w:tc>
      </w:tr>
    </w:tbl>
    <w:p>
      <w:pPr>
        <w:spacing w:after="20"/>
      </w:pPr>
    </w:p>
    <w:p>
      <w:pPr>
        <w:pStyle w:val="Heading2"/>
      </w:pPr>
      <w:r>
        <w:t>The economic view can differ</w:t>
      </w:r>
    </w:p>
    <w:p>
      <w:r>
        <w:rPr>
          <w:b w:val="0"/>
        </w:rPr>
        <w:t xml:space="preserve">Assume unmet demand exists for the 32 t not produced and the 2 t downgrade is sold with an approved price difference of USD 80/t. With no additional handling cost, the illustrative economic impact is 32 × 150 + 2 × 80 = </w:t>
      </w:r>
      <w:r>
        <w:rPr>
          <w:b/>
        </w:rPr>
        <w:t>USD 4,960</w:t>
      </w:r>
      <w:r>
        <w:rPr>
          <w:b w:val="0"/>
        </w:rPr>
        <w:t>.</w:t>
      </w:r>
    </w:p>
    <w:p>
      <w:r>
        <w:rPr>
          <w:b w:val="0"/>
        </w:rPr>
        <w:t>The USD 5,100 margin view and USD 4,960 economic view are alternative valuations of the same event history. Do not add them. Do not add sales revenue loss to contribution-margin loss without checking whether the costs have already been included.</w:t>
      </w:r>
    </w:p>
    <w:p>
      <w:r>
        <w:rPr>
          <w:b w:val="0"/>
        </w:rPr>
        <w:t>For scrap, the economic model can include lost contribution, spent variable cost, salvage and disposal. For rework, consider incremental cost, yield loss and displaced constrained output. The specific inputs and treatment require finance approval. If demand is not constrained, the model may legitimately return zero lost contribution while operational losses still exist.</w:t>
      </w:r>
    </w:p>
    <w:p>
      <w:pPr>
        <w:pStyle w:val="Heading2"/>
      </w:pPr>
      <w:r>
        <w:t>Currency and effective dates</w:t>
      </w:r>
    </w:p>
    <w:p>
      <w:r>
        <w:rPr>
          <w:b w:val="0"/>
        </w:rPr>
        <w:t xml:space="preserve">At the source’s purely illustrative FX of </w:t>
      </w:r>
      <w:r>
        <w:rPr>
          <w:b/>
        </w:rPr>
        <w:t>600,000 IRR per USD</w:t>
      </w:r>
      <w:r>
        <w:rPr>
          <w:b w:val="0"/>
        </w:rPr>
        <w:t xml:space="preserve">, USD 5,100 converts to </w:t>
      </w:r>
      <w:r>
        <w:rPr>
          <w:b/>
        </w:rPr>
        <w:t>IRR 3,060,000,000</w:t>
      </w:r>
      <w:r>
        <w:rPr>
          <w:b w:val="0"/>
        </w:rPr>
        <w:t>. This is not a current market exchange rate. The example uses IRR, not toman; do not silently apply a factor of ten.</w:t>
      </w:r>
    </w:p>
    <w:p>
      <w:r>
        <w:rPr>
          <w:b w:val="0"/>
        </w:rPr>
        <w:t>The application returns server-valued currencies. Its display switch does not invent an exchange rate. Preserve effective dates and provisional labels, and split value calculations at applicable rate changes when required.</w:t>
      </w:r>
    </w:p>
    <w:p>
      <w:r>
        <w:rPr>
          <w:b w:val="0"/>
        </w:rPr>
      </w:r>
      <w:r>
        <w:rPr>
          <w:b/>
        </w:rPr>
        <w:t>Checkpoint:</w:t>
      </w:r>
      <w:r>
        <w:rPr>
          <w:b w:val="0"/>
        </w:rPr>
        <w:t xml:space="preserve"> A repair team eliminates a 28 t opportunity loss. That does not automatically prove USD 4,200 of realized savings. Confirm demand, later recovery, production opportunity and incremental costs before making a financial claim.</w:t>
      </w:r>
    </w:p>
    <w:p>
      <w:r>
        <w:br w:type="page"/>
      </w:r>
    </w:p>
    <w:p>
      <w:pPr>
        <w:pStyle w:val="Heading1"/>
      </w:pPr>
      <w:r>
        <w:t>22 Assign people and approval responsibilities</w:t>
      </w:r>
    </w:p>
    <w:p>
      <w:r>
        <w:rPr>
          <w:b w:val="0"/>
        </w:rPr>
        <w:t>Use named people with scoped roles. The names below are fictional teaching personas, not actual Marun staff or existing login accounts. A role grants permitted actions; it does not make a person independent of their own work. [A5]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765"/>
        <w:gridCol w:w="5558"/>
      </w:tblGrid>
      <w:tr>
        <w:trPr>
          <w:cantSplit/>
          <w:tblHeader/>
        </w:trPr>
        <w:tc>
          <w:tcPr>
            <w:tcW w:type="dxa" w:w="1512"/>
            <w:vAlign w:val="center"/>
            <w:tcMar>
              <w:top w:w="75" w:type="dxa"/>
              <w:left w:w="75" w:type="dxa"/>
              <w:bottom w:w="75" w:type="dxa"/>
              <w:right w:w="75" w:type="dxa"/>
            </w:tcMar>
            <w:shd w:fill="173B57"/>
          </w:tcPr>
          <w:p>
            <w:pPr>
              <w:spacing w:after="0" w:before="0" w:line="252" w:lineRule="auto"/>
              <w:jc w:val="center"/>
            </w:pPr>
            <w:r>
              <w:rPr>
                <w:b/>
                <w:color w:val="FFFFFF"/>
                <w:sz w:val="18"/>
              </w:rPr>
              <w:t>Teaching person</w:t>
            </w:r>
          </w:p>
        </w:tc>
        <w:tc>
          <w:tcPr>
            <w:tcW w:type="dxa" w:w="2765"/>
            <w:vAlign w:val="center"/>
            <w:tcMar>
              <w:top w:w="75" w:type="dxa"/>
              <w:left w:w="75" w:type="dxa"/>
              <w:bottom w:w="75" w:type="dxa"/>
              <w:right w:w="75" w:type="dxa"/>
            </w:tcMar>
            <w:shd w:fill="173B57"/>
          </w:tcPr>
          <w:p>
            <w:pPr>
              <w:spacing w:after="0" w:before="0" w:line="252" w:lineRule="auto"/>
              <w:jc w:val="center"/>
            </w:pPr>
            <w:r>
              <w:rPr>
                <w:b/>
                <w:color w:val="FFFFFF"/>
                <w:sz w:val="18"/>
              </w:rPr>
              <w:t>Role</w:t>
            </w:r>
          </w:p>
        </w:tc>
        <w:tc>
          <w:tcPr>
            <w:tcW w:type="dxa" w:w="5558"/>
            <w:vAlign w:val="center"/>
            <w:tcMar>
              <w:top w:w="75" w:type="dxa"/>
              <w:left w:w="75" w:type="dxa"/>
              <w:bottom w:w="75" w:type="dxa"/>
              <w:right w:w="75" w:type="dxa"/>
            </w:tcMar>
            <w:shd w:fill="173B57"/>
          </w:tcPr>
          <w:p>
            <w:pPr>
              <w:spacing w:after="0" w:before="0" w:line="252" w:lineRule="auto"/>
              <w:jc w:val="center"/>
            </w:pPr>
            <w:r>
              <w:rPr>
                <w:b/>
                <w:color w:val="FFFFFF"/>
                <w:sz w:val="18"/>
              </w:rPr>
              <w:t>Main responsibility</w:t>
            </w:r>
          </w:p>
        </w:tc>
      </w:tr>
      <w:tr>
        <w:trPr>
          <w:cantSplit/>
        </w:trPr>
        <w:tc>
          <w:tcPr>
            <w:tcW w:type="dxa" w:w="1512"/>
            <w:vAlign w:val="center"/>
            <w:tcMar>
              <w:top w:w="75" w:type="dxa"/>
              <w:left w:w="75" w:type="dxa"/>
              <w:bottom w:w="75" w:type="dxa"/>
              <w:right w:w="75" w:type="dxa"/>
            </w:tcMar>
            <w:shd w:fill="F1F5F7"/>
          </w:tcPr>
          <w:p>
            <w:pPr>
              <w:spacing w:after="0" w:before="0" w:line="252" w:lineRule="auto"/>
            </w:pPr>
            <w:r>
              <w:rPr>
                <w:b w:val="0"/>
                <w:color w:val="000000"/>
                <w:sz w:val="18"/>
              </w:rPr>
              <w:t>Leila</w:t>
            </w:r>
          </w:p>
        </w:tc>
        <w:tc>
          <w:tcPr>
            <w:tcW w:type="dxa" w:w="2765"/>
            <w:vAlign w:val="center"/>
            <w:tcMar>
              <w:top w:w="75" w:type="dxa"/>
              <w:left w:w="75" w:type="dxa"/>
              <w:bottom w:w="75" w:type="dxa"/>
              <w:right w:w="75" w:type="dxa"/>
            </w:tcMar>
            <w:shd w:fill="F1F5F7"/>
          </w:tcPr>
          <w:p>
            <w:pPr>
              <w:spacing w:after="0" w:before="0" w:line="252" w:lineRule="auto"/>
            </w:pPr>
            <w:r>
              <w:rPr>
                <w:b w:val="0"/>
                <w:color w:val="000000"/>
                <w:sz w:val="18"/>
              </w:rPr>
              <w:t>production_engineer</w:t>
            </w:r>
          </w:p>
        </w:tc>
        <w:tc>
          <w:tcPr>
            <w:tcW w:type="dxa" w:w="5558"/>
            <w:vAlign w:val="center"/>
            <w:tcMar>
              <w:top w:w="75" w:type="dxa"/>
              <w:left w:w="75" w:type="dxa"/>
              <w:bottom w:w="75" w:type="dxa"/>
              <w:right w:w="75" w:type="dxa"/>
            </w:tcMar>
            <w:shd w:fill="F1F5F7"/>
          </w:tcPr>
          <w:p>
            <w:pPr>
              <w:spacing w:after="0" w:before="0" w:line="252" w:lineRule="auto"/>
            </w:pPr>
            <w:r>
              <w:rPr>
                <w:b w:val="0"/>
                <w:color w:val="000000"/>
                <w:sz w:val="18"/>
              </w:rPr>
              <w:t>Prepare the plan and technical production explanation</w:t>
            </w:r>
          </w:p>
        </w:tc>
      </w:tr>
      <w:tr>
        <w:trPr>
          <w:cantSplit/>
        </w:trPr>
        <w:tc>
          <w:tcPr>
            <w:tcW w:type="dxa" w:w="1512"/>
            <w:vAlign w:val="center"/>
            <w:tcMar>
              <w:top w:w="75" w:type="dxa"/>
              <w:left w:w="75" w:type="dxa"/>
              <w:bottom w:w="75" w:type="dxa"/>
              <w:right w:w="75" w:type="dxa"/>
            </w:tcMar>
            <w:shd w:fill="FFFFFF"/>
          </w:tcPr>
          <w:p>
            <w:pPr>
              <w:spacing w:after="0" w:before="0" w:line="252" w:lineRule="auto"/>
            </w:pPr>
            <w:r>
              <w:rPr>
                <w:b w:val="0"/>
                <w:color w:val="000000"/>
                <w:sz w:val="18"/>
              </w:rPr>
              <w:t>Omid</w:t>
            </w:r>
          </w:p>
        </w:tc>
        <w:tc>
          <w:tcPr>
            <w:tcW w:type="dxa" w:w="2765"/>
            <w:vAlign w:val="center"/>
            <w:tcMar>
              <w:top w:w="75" w:type="dxa"/>
              <w:left w:w="75" w:type="dxa"/>
              <w:bottom w:w="75" w:type="dxa"/>
              <w:right w:w="75" w:type="dxa"/>
            </w:tcMar>
            <w:shd w:fill="FFFFFF"/>
          </w:tcPr>
          <w:p>
            <w:pPr>
              <w:spacing w:after="0" w:before="0" w:line="252" w:lineRule="auto"/>
              <w:jc w:val="center"/>
            </w:pPr>
            <w:r>
              <w:rPr>
                <w:b w:val="0"/>
                <w:color w:val="000000"/>
                <w:sz w:val="18"/>
              </w:rPr>
              <w:t>operator</w:t>
            </w:r>
          </w:p>
        </w:tc>
        <w:tc>
          <w:tcPr>
            <w:tcW w:type="dxa" w:w="5558"/>
            <w:vAlign w:val="center"/>
            <w:tcMar>
              <w:top w:w="75" w:type="dxa"/>
              <w:left w:w="75" w:type="dxa"/>
              <w:bottom w:w="75" w:type="dxa"/>
              <w:right w:w="75" w:type="dxa"/>
            </w:tcMar>
            <w:shd w:fill="FFFFFF"/>
          </w:tcPr>
          <w:p>
            <w:pPr>
              <w:spacing w:after="0" w:before="0" w:line="252" w:lineRule="auto"/>
            </w:pPr>
            <w:r>
              <w:rPr>
                <w:b w:val="0"/>
                <w:color w:val="000000"/>
                <w:sz w:val="18"/>
              </w:rPr>
              <w:t>Record events and observed conditions</w:t>
            </w:r>
          </w:p>
        </w:tc>
      </w:tr>
      <w:tr>
        <w:trPr>
          <w:cantSplit/>
        </w:trPr>
        <w:tc>
          <w:tcPr>
            <w:tcW w:type="dxa" w:w="1512"/>
            <w:vAlign w:val="center"/>
            <w:tcMar>
              <w:top w:w="75" w:type="dxa"/>
              <w:left w:w="75" w:type="dxa"/>
              <w:bottom w:w="75" w:type="dxa"/>
              <w:right w:w="75" w:type="dxa"/>
            </w:tcMar>
            <w:shd w:fill="F1F5F7"/>
          </w:tcPr>
          <w:p>
            <w:pPr>
              <w:spacing w:after="0" w:before="0" w:line="252" w:lineRule="auto"/>
            </w:pPr>
            <w:r>
              <w:rPr>
                <w:b w:val="0"/>
                <w:color w:val="000000"/>
                <w:sz w:val="18"/>
              </w:rPr>
              <w:t>Sara</w:t>
            </w:r>
          </w:p>
        </w:tc>
        <w:tc>
          <w:tcPr>
            <w:tcW w:type="dxa" w:w="2765"/>
            <w:vAlign w:val="center"/>
            <w:tcMar>
              <w:top w:w="75" w:type="dxa"/>
              <w:left w:w="75" w:type="dxa"/>
              <w:bottom w:w="75" w:type="dxa"/>
              <w:right w:w="75" w:type="dxa"/>
            </w:tcMar>
            <w:shd w:fill="F1F5F7"/>
          </w:tcPr>
          <w:p>
            <w:pPr>
              <w:spacing w:after="0" w:before="0" w:line="252" w:lineRule="auto"/>
            </w:pPr>
            <w:r>
              <w:rPr>
                <w:b w:val="0"/>
                <w:color w:val="000000"/>
                <w:sz w:val="18"/>
              </w:rPr>
              <w:t>production_accountant</w:t>
            </w:r>
          </w:p>
        </w:tc>
        <w:tc>
          <w:tcPr>
            <w:tcW w:type="dxa" w:w="5558"/>
            <w:vAlign w:val="center"/>
            <w:tcMar>
              <w:top w:w="75" w:type="dxa"/>
              <w:left w:w="75" w:type="dxa"/>
              <w:bottom w:w="75" w:type="dxa"/>
              <w:right w:w="75" w:type="dxa"/>
            </w:tcMar>
            <w:shd w:fill="F1F5F7"/>
          </w:tcPr>
          <w:p>
            <w:pPr>
              <w:spacing w:after="0" w:before="0" w:line="252" w:lineRule="auto"/>
            </w:pPr>
            <w:r>
              <w:rPr>
                <w:b w:val="0"/>
                <w:color w:val="000000"/>
                <w:sz w:val="18"/>
              </w:rPr>
              <w:t>Reconcile production and govern measurement authority</w:t>
            </w:r>
          </w:p>
        </w:tc>
      </w:tr>
      <w:tr>
        <w:trPr>
          <w:cantSplit/>
        </w:trPr>
        <w:tc>
          <w:tcPr>
            <w:tcW w:type="dxa" w:w="1512"/>
            <w:vAlign w:val="center"/>
            <w:tcMar>
              <w:top w:w="75" w:type="dxa"/>
              <w:left w:w="75" w:type="dxa"/>
              <w:bottom w:w="75" w:type="dxa"/>
              <w:right w:w="75" w:type="dxa"/>
            </w:tcMar>
            <w:shd w:fill="FFFFFF"/>
          </w:tcPr>
          <w:p>
            <w:pPr>
              <w:spacing w:after="0" w:before="0" w:line="252" w:lineRule="auto"/>
            </w:pPr>
            <w:r>
              <w:rPr>
                <w:b w:val="0"/>
                <w:color w:val="000000"/>
                <w:sz w:val="18"/>
              </w:rPr>
              <w:t>Reza</w:t>
            </w:r>
          </w:p>
        </w:tc>
        <w:tc>
          <w:tcPr>
            <w:tcW w:type="dxa" w:w="2765"/>
            <w:vAlign w:val="center"/>
            <w:tcMar>
              <w:top w:w="75" w:type="dxa"/>
              <w:left w:w="75" w:type="dxa"/>
              <w:bottom w:w="75" w:type="dxa"/>
              <w:right w:w="75" w:type="dxa"/>
            </w:tcMar>
            <w:shd w:fill="FFFFFF"/>
          </w:tcPr>
          <w:p>
            <w:pPr>
              <w:spacing w:after="0" w:before="0" w:line="252" w:lineRule="auto"/>
            </w:pPr>
            <w:r>
              <w:rPr>
                <w:b w:val="0"/>
                <w:color w:val="000000"/>
                <w:sz w:val="18"/>
              </w:rPr>
              <w:t>manager_approver</w:t>
            </w:r>
          </w:p>
        </w:tc>
        <w:tc>
          <w:tcPr>
            <w:tcW w:type="dxa" w:w="5558"/>
            <w:vAlign w:val="center"/>
            <w:tcMar>
              <w:top w:w="75" w:type="dxa"/>
              <w:left w:w="75" w:type="dxa"/>
              <w:bottom w:w="75" w:type="dxa"/>
              <w:right w:w="75" w:type="dxa"/>
            </w:tcMar>
            <w:shd w:fill="FFFFFF"/>
          </w:tcPr>
          <w:p>
            <w:pPr>
              <w:spacing w:after="0" w:before="0" w:line="252" w:lineRule="auto"/>
            </w:pPr>
            <w:r>
              <w:rPr>
                <w:b w:val="0"/>
                <w:color w:val="000000"/>
                <w:sz w:val="18"/>
              </w:rPr>
              <w:t>Independently approve eligible work and certify days</w:t>
            </w:r>
          </w:p>
        </w:tc>
      </w:tr>
      <w:tr>
        <w:trPr>
          <w:cantSplit/>
        </w:trPr>
        <w:tc>
          <w:tcPr>
            <w:tcW w:type="dxa" w:w="1512"/>
            <w:vAlign w:val="center"/>
            <w:tcMar>
              <w:top w:w="75" w:type="dxa"/>
              <w:left w:w="75" w:type="dxa"/>
              <w:bottom w:w="75" w:type="dxa"/>
              <w:right w:w="75" w:type="dxa"/>
            </w:tcMar>
            <w:shd w:fill="F1F5F7"/>
          </w:tcPr>
          <w:p>
            <w:pPr>
              <w:spacing w:after="0" w:before="0" w:line="252" w:lineRule="auto"/>
            </w:pPr>
            <w:r>
              <w:rPr>
                <w:b w:val="0"/>
                <w:color w:val="000000"/>
                <w:sz w:val="18"/>
              </w:rPr>
              <w:t>Neda</w:t>
            </w:r>
          </w:p>
        </w:tc>
        <w:tc>
          <w:tcPr>
            <w:tcW w:type="dxa" w:w="2765"/>
            <w:vAlign w:val="center"/>
            <w:tcMar>
              <w:top w:w="75" w:type="dxa"/>
              <w:left w:w="75" w:type="dxa"/>
              <w:bottom w:w="75" w:type="dxa"/>
              <w:right w:w="75" w:type="dxa"/>
            </w:tcMar>
            <w:shd w:fill="F1F5F7"/>
          </w:tcPr>
          <w:p>
            <w:pPr>
              <w:spacing w:after="0" w:before="0" w:line="252" w:lineRule="auto"/>
            </w:pPr>
            <w:r>
              <w:rPr>
                <w:b w:val="0"/>
                <w:color w:val="000000"/>
                <w:sz w:val="18"/>
              </w:rPr>
              <w:t>quality_approver</w:t>
            </w:r>
          </w:p>
        </w:tc>
        <w:tc>
          <w:tcPr>
            <w:tcW w:type="dxa" w:w="5558"/>
            <w:vAlign w:val="center"/>
            <w:tcMar>
              <w:top w:w="75" w:type="dxa"/>
              <w:left w:w="75" w:type="dxa"/>
              <w:bottom w:w="75" w:type="dxa"/>
              <w:right w:w="75" w:type="dxa"/>
            </w:tcMar>
            <w:shd w:fill="F1F5F7"/>
          </w:tcPr>
          <w:p>
            <w:pPr>
              <w:spacing w:after="0" w:before="0" w:line="252" w:lineRule="auto"/>
            </w:pPr>
            <w:r>
              <w:rPr>
                <w:b w:val="0"/>
                <w:color w:val="000000"/>
                <w:sz w:val="18"/>
              </w:rPr>
              <w:t>Independently decide lot dispositions</w:t>
            </w:r>
          </w:p>
        </w:tc>
      </w:tr>
      <w:tr>
        <w:trPr>
          <w:cantSplit/>
        </w:trPr>
        <w:tc>
          <w:tcPr>
            <w:tcW w:type="dxa" w:w="1512"/>
            <w:vAlign w:val="center"/>
            <w:tcMar>
              <w:top w:w="75" w:type="dxa"/>
              <w:left w:w="75" w:type="dxa"/>
              <w:bottom w:w="75" w:type="dxa"/>
              <w:right w:w="75" w:type="dxa"/>
            </w:tcMar>
            <w:shd w:fill="FFFFFF"/>
          </w:tcPr>
          <w:p>
            <w:pPr>
              <w:spacing w:after="0" w:before="0" w:line="252" w:lineRule="auto"/>
            </w:pPr>
            <w:r>
              <w:rPr>
                <w:b w:val="0"/>
                <w:color w:val="000000"/>
                <w:sz w:val="18"/>
              </w:rPr>
              <w:t>Farid</w:t>
            </w:r>
          </w:p>
        </w:tc>
        <w:tc>
          <w:tcPr>
            <w:tcW w:type="dxa" w:w="2765"/>
            <w:vAlign w:val="center"/>
            <w:tcMar>
              <w:top w:w="75" w:type="dxa"/>
              <w:left w:w="75" w:type="dxa"/>
              <w:bottom w:w="75" w:type="dxa"/>
              <w:right w:w="75" w:type="dxa"/>
            </w:tcMar>
            <w:shd w:fill="FFFFFF"/>
          </w:tcPr>
          <w:p>
            <w:pPr>
              <w:spacing w:after="0" w:before="0" w:line="252" w:lineRule="auto"/>
            </w:pPr>
            <w:r>
              <w:rPr>
                <w:b w:val="0"/>
                <w:color w:val="000000"/>
                <w:sz w:val="18"/>
              </w:rPr>
              <w:t>reliability_engineer</w:t>
            </w:r>
          </w:p>
        </w:tc>
        <w:tc>
          <w:tcPr>
            <w:tcW w:type="dxa" w:w="5558"/>
            <w:vAlign w:val="center"/>
            <w:tcMar>
              <w:top w:w="75" w:type="dxa"/>
              <w:left w:w="75" w:type="dxa"/>
              <w:bottom w:w="75" w:type="dxa"/>
              <w:right w:w="75" w:type="dxa"/>
            </w:tcMar>
            <w:shd w:fill="FFFFFF"/>
          </w:tcPr>
          <w:p>
            <w:pPr>
              <w:spacing w:after="0" w:before="0" w:line="252" w:lineRule="auto"/>
            </w:pPr>
            <w:r>
              <w:rPr>
                <w:b w:val="0"/>
                <w:color w:val="000000"/>
                <w:sz w:val="18"/>
              </w:rPr>
              <w:t>Validate failure details and investigate causes</w:t>
            </w:r>
          </w:p>
        </w:tc>
      </w:tr>
      <w:tr>
        <w:trPr>
          <w:cantSplit/>
        </w:trPr>
        <w:tc>
          <w:tcPr>
            <w:tcW w:type="dxa" w:w="1512"/>
            <w:vAlign w:val="center"/>
            <w:tcMar>
              <w:top w:w="75" w:type="dxa"/>
              <w:left w:w="75" w:type="dxa"/>
              <w:bottom w:w="75" w:type="dxa"/>
              <w:right w:w="75" w:type="dxa"/>
            </w:tcMar>
            <w:shd w:fill="F1F5F7"/>
          </w:tcPr>
          <w:p>
            <w:pPr>
              <w:spacing w:after="0" w:before="0" w:line="252" w:lineRule="auto"/>
            </w:pPr>
            <w:r>
              <w:rPr>
                <w:b w:val="0"/>
                <w:color w:val="000000"/>
                <w:sz w:val="18"/>
              </w:rPr>
              <w:t>Mina</w:t>
            </w:r>
          </w:p>
        </w:tc>
        <w:tc>
          <w:tcPr>
            <w:tcW w:type="dxa" w:w="2765"/>
            <w:vAlign w:val="center"/>
            <w:tcMar>
              <w:top w:w="75" w:type="dxa"/>
              <w:left w:w="75" w:type="dxa"/>
              <w:bottom w:w="75" w:type="dxa"/>
              <w:right w:w="75" w:type="dxa"/>
            </w:tcMar>
            <w:shd w:fill="F1F5F7"/>
          </w:tcPr>
          <w:p>
            <w:pPr>
              <w:spacing w:after="0" w:before="0" w:line="252" w:lineRule="auto"/>
            </w:pPr>
            <w:r>
              <w:rPr>
                <w:b w:val="0"/>
                <w:color w:val="000000"/>
                <w:sz w:val="18"/>
              </w:rPr>
              <w:t>integration_admin</w:t>
            </w:r>
          </w:p>
        </w:tc>
        <w:tc>
          <w:tcPr>
            <w:tcW w:type="dxa" w:w="5558"/>
            <w:vAlign w:val="center"/>
            <w:tcMar>
              <w:top w:w="75" w:type="dxa"/>
              <w:left w:w="75" w:type="dxa"/>
              <w:bottom w:w="75" w:type="dxa"/>
              <w:right w:w="75" w:type="dxa"/>
            </w:tcMar>
            <w:shd w:fill="F1F5F7"/>
          </w:tcPr>
          <w:p>
            <w:pPr>
              <w:spacing w:after="0" w:before="0" w:line="252" w:lineRule="auto"/>
            </w:pPr>
            <w:r>
              <w:rPr>
                <w:b w:val="0"/>
                <w:color w:val="000000"/>
                <w:sz w:val="18"/>
              </w:rPr>
              <w:t>Configure and verify source intake</w:t>
            </w:r>
          </w:p>
        </w:tc>
      </w:tr>
      <w:tr>
        <w:trPr>
          <w:cantSplit/>
        </w:trPr>
        <w:tc>
          <w:tcPr>
            <w:tcW w:type="dxa" w:w="1512"/>
            <w:vAlign w:val="center"/>
            <w:tcMar>
              <w:top w:w="75" w:type="dxa"/>
              <w:left w:w="75" w:type="dxa"/>
              <w:bottom w:w="75" w:type="dxa"/>
              <w:right w:w="75" w:type="dxa"/>
            </w:tcMar>
            <w:shd w:fill="FFFFFF"/>
          </w:tcPr>
          <w:p>
            <w:pPr>
              <w:spacing w:after="0" w:before="0" w:line="252" w:lineRule="auto"/>
            </w:pPr>
            <w:r>
              <w:rPr>
                <w:b w:val="0"/>
                <w:color w:val="000000"/>
                <w:sz w:val="18"/>
              </w:rPr>
              <w:t>Arman</w:t>
            </w:r>
          </w:p>
        </w:tc>
        <w:tc>
          <w:tcPr>
            <w:tcW w:type="dxa" w:w="2765"/>
            <w:vAlign w:val="center"/>
            <w:tcMar>
              <w:top w:w="75" w:type="dxa"/>
              <w:left w:w="75" w:type="dxa"/>
              <w:bottom w:w="75" w:type="dxa"/>
              <w:right w:w="75" w:type="dxa"/>
            </w:tcMar>
            <w:shd w:fill="FFFFFF"/>
          </w:tcPr>
          <w:p>
            <w:pPr>
              <w:spacing w:after="0" w:before="0" w:line="252" w:lineRule="auto"/>
            </w:pPr>
            <w:r>
              <w:rPr>
                <w:b w:val="0"/>
                <w:color w:val="000000"/>
                <w:sz w:val="18"/>
              </w:rPr>
              <w:t>metrology_approver</w:t>
            </w:r>
          </w:p>
        </w:tc>
        <w:tc>
          <w:tcPr>
            <w:tcW w:type="dxa" w:w="5558"/>
            <w:vAlign w:val="center"/>
            <w:tcMar>
              <w:top w:w="75" w:type="dxa"/>
              <w:left w:w="75" w:type="dxa"/>
              <w:bottom w:w="75" w:type="dxa"/>
              <w:right w:w="75" w:type="dxa"/>
            </w:tcMar>
            <w:shd w:fill="FFFFFF"/>
          </w:tcPr>
          <w:p>
            <w:pPr>
              <w:spacing w:after="0" w:before="0" w:line="252" w:lineRule="auto"/>
            </w:pPr>
            <w:r>
              <w:rPr>
                <w:b w:val="0"/>
                <w:color w:val="000000"/>
                <w:sz w:val="18"/>
              </w:rPr>
              <w:t>Review uncertainty budgets</w:t>
            </w:r>
          </w:p>
        </w:tc>
      </w:tr>
      <w:tr>
        <w:trPr>
          <w:cantSplit/>
        </w:trPr>
        <w:tc>
          <w:tcPr>
            <w:tcW w:type="dxa" w:w="1512"/>
            <w:vAlign w:val="center"/>
            <w:tcMar>
              <w:top w:w="75" w:type="dxa"/>
              <w:left w:w="75" w:type="dxa"/>
              <w:bottom w:w="75" w:type="dxa"/>
              <w:right w:w="75" w:type="dxa"/>
            </w:tcMar>
            <w:shd w:fill="F1F5F7"/>
          </w:tcPr>
          <w:p>
            <w:pPr>
              <w:spacing w:after="0" w:before="0" w:line="252" w:lineRule="auto"/>
            </w:pPr>
            <w:r>
              <w:rPr>
                <w:b w:val="0"/>
                <w:color w:val="000000"/>
                <w:sz w:val="18"/>
              </w:rPr>
              <w:t>Darya</w:t>
            </w:r>
          </w:p>
        </w:tc>
        <w:tc>
          <w:tcPr>
            <w:tcW w:type="dxa" w:w="2765"/>
            <w:vAlign w:val="center"/>
            <w:tcMar>
              <w:top w:w="75" w:type="dxa"/>
              <w:left w:w="75" w:type="dxa"/>
              <w:bottom w:w="75" w:type="dxa"/>
              <w:right w:w="75" w:type="dxa"/>
            </w:tcMar>
            <w:shd w:fill="F1F5F7"/>
          </w:tcPr>
          <w:p>
            <w:pPr>
              <w:spacing w:after="0" w:before="0" w:line="252" w:lineRule="auto"/>
            </w:pPr>
            <w:r>
              <w:rPr>
                <w:b w:val="0"/>
                <w:color w:val="000000"/>
                <w:sz w:val="18"/>
              </w:rPr>
              <w:t>finance_maintainer</w:t>
            </w:r>
          </w:p>
        </w:tc>
        <w:tc>
          <w:tcPr>
            <w:tcW w:type="dxa" w:w="5558"/>
            <w:vAlign w:val="center"/>
            <w:tcMar>
              <w:top w:w="75" w:type="dxa"/>
              <w:left w:w="75" w:type="dxa"/>
              <w:bottom w:w="75" w:type="dxa"/>
              <w:right w:w="75" w:type="dxa"/>
            </w:tcMar>
            <w:shd w:fill="F1F5F7"/>
          </w:tcPr>
          <w:p>
            <w:pPr>
              <w:spacing w:after="0" w:before="0" w:line="252" w:lineRule="auto"/>
            </w:pPr>
            <w:r>
              <w:rPr>
                <w:b w:val="0"/>
                <w:color w:val="000000"/>
                <w:sz w:val="18"/>
              </w:rPr>
              <w:t>Prepare finance policies and valuation inputs</w:t>
            </w:r>
          </w:p>
        </w:tc>
      </w:tr>
      <w:tr>
        <w:trPr>
          <w:cantSplit/>
        </w:trPr>
        <w:tc>
          <w:tcPr>
            <w:tcW w:type="dxa" w:w="1512"/>
            <w:vAlign w:val="center"/>
            <w:tcMar>
              <w:top w:w="75" w:type="dxa"/>
              <w:left w:w="75" w:type="dxa"/>
              <w:bottom w:w="75" w:type="dxa"/>
              <w:right w:w="75" w:type="dxa"/>
            </w:tcMar>
            <w:shd w:fill="FFFFFF"/>
          </w:tcPr>
          <w:p>
            <w:pPr>
              <w:spacing w:after="0" w:before="0" w:line="252" w:lineRule="auto"/>
            </w:pPr>
            <w:r>
              <w:rPr>
                <w:b w:val="0"/>
                <w:color w:val="000000"/>
                <w:sz w:val="18"/>
              </w:rPr>
              <w:t>Kamran</w:t>
            </w:r>
          </w:p>
        </w:tc>
        <w:tc>
          <w:tcPr>
            <w:tcW w:type="dxa" w:w="2765"/>
            <w:vAlign w:val="center"/>
            <w:tcMar>
              <w:top w:w="75" w:type="dxa"/>
              <w:left w:w="75" w:type="dxa"/>
              <w:bottom w:w="75" w:type="dxa"/>
              <w:right w:w="75" w:type="dxa"/>
            </w:tcMar>
            <w:shd w:fill="FFFFFF"/>
          </w:tcPr>
          <w:p>
            <w:pPr>
              <w:spacing w:after="0" w:before="0" w:line="252" w:lineRule="auto"/>
            </w:pPr>
            <w:r>
              <w:rPr>
                <w:b w:val="0"/>
                <w:color w:val="000000"/>
                <w:sz w:val="18"/>
              </w:rPr>
              <w:t>finance_approver</w:t>
            </w:r>
          </w:p>
        </w:tc>
        <w:tc>
          <w:tcPr>
            <w:tcW w:type="dxa" w:w="5558"/>
            <w:vAlign w:val="center"/>
            <w:tcMar>
              <w:top w:w="75" w:type="dxa"/>
              <w:left w:w="75" w:type="dxa"/>
              <w:bottom w:w="75" w:type="dxa"/>
              <w:right w:w="75" w:type="dxa"/>
            </w:tcMar>
            <w:shd w:fill="FFFFFF"/>
          </w:tcPr>
          <w:p>
            <w:pPr>
              <w:spacing w:after="0" w:before="0" w:line="252" w:lineRule="auto"/>
            </w:pPr>
            <w:r>
              <w:rPr>
                <w:b w:val="0"/>
                <w:color w:val="000000"/>
                <w:sz w:val="18"/>
              </w:rPr>
              <w:t>Independently approve finance and financial close</w:t>
            </w:r>
          </w:p>
        </w:tc>
      </w:tr>
      <w:tr>
        <w:trPr>
          <w:cantSplit/>
        </w:trPr>
        <w:tc>
          <w:tcPr>
            <w:tcW w:type="dxa" w:w="1512"/>
            <w:vAlign w:val="center"/>
            <w:tcMar>
              <w:top w:w="75" w:type="dxa"/>
              <w:left w:w="75" w:type="dxa"/>
              <w:bottom w:w="75" w:type="dxa"/>
              <w:right w:w="75" w:type="dxa"/>
            </w:tcMar>
            <w:shd w:fill="F1F5F7"/>
          </w:tcPr>
          <w:p>
            <w:pPr>
              <w:spacing w:after="0" w:before="0" w:line="252" w:lineRule="auto"/>
            </w:pPr>
            <w:r>
              <w:rPr>
                <w:b w:val="0"/>
                <w:color w:val="000000"/>
                <w:sz w:val="18"/>
              </w:rPr>
              <w:t>Maryam</w:t>
            </w:r>
          </w:p>
        </w:tc>
        <w:tc>
          <w:tcPr>
            <w:tcW w:type="dxa" w:w="2765"/>
            <w:vAlign w:val="center"/>
            <w:tcMar>
              <w:top w:w="75" w:type="dxa"/>
              <w:left w:w="75" w:type="dxa"/>
              <w:bottom w:w="75" w:type="dxa"/>
              <w:right w:w="75" w:type="dxa"/>
            </w:tcMar>
            <w:shd w:fill="F1F5F7"/>
          </w:tcPr>
          <w:p>
            <w:pPr>
              <w:spacing w:after="0" w:before="0" w:line="252" w:lineRule="auto"/>
            </w:pPr>
            <w:r>
              <w:rPr>
                <w:b w:val="0"/>
                <w:color w:val="000000"/>
                <w:sz w:val="18"/>
              </w:rPr>
              <w:t>manager_approver</w:t>
            </w:r>
          </w:p>
        </w:tc>
        <w:tc>
          <w:tcPr>
            <w:tcW w:type="dxa" w:w="5558"/>
            <w:vAlign w:val="center"/>
            <w:tcMar>
              <w:top w:w="75" w:type="dxa"/>
              <w:left w:w="75" w:type="dxa"/>
              <w:bottom w:w="75" w:type="dxa"/>
              <w:right w:w="75" w:type="dxa"/>
            </w:tcMar>
            <w:shd w:fill="F1F5F7"/>
          </w:tcPr>
          <w:p>
            <w:pPr>
              <w:spacing w:after="0" w:before="0" w:line="252" w:lineRule="auto"/>
            </w:pPr>
            <w:r>
              <w:rPr>
                <w:b w:val="0"/>
                <w:color w:val="000000"/>
                <w:sz w:val="18"/>
              </w:rPr>
              <w:t>Independent RCA closure reviewer</w:t>
            </w:r>
          </w:p>
        </w:tc>
      </w:tr>
    </w:tbl>
    <w:p>
      <w:pPr>
        <w:spacing w:after="20"/>
      </w:pPr>
    </w:p>
    <w:p>
      <w:r>
        <w:rPr>
          <w:b w:val="0"/>
        </w:rPr>
        <w:t>A master-data administrator or appropriately authorized manager prepares hierarchy, calendars and profile records. Add a separate qualified author or reviewer when one of the people above would otherwise decide their own submission.</w:t>
      </w:r>
    </w:p>
    <w:p>
      <w:pPr>
        <w:pStyle w:val="Heading2"/>
      </w:pPr>
      <w:r>
        <w:t>Follow the handoffs</w:t>
      </w:r>
    </w:p>
    <w:p>
      <w:r>
        <w:rPr>
          <w:b w:val="0"/>
        </w:rPr>
        <w:t>Leila prepares the plan; Reza reviews it. Omid codes the stop; an eligible independent verifier checks coding, and Farid validates failure detail. Omid or Leila proposes the disposition; Neda decides it. Sara reconciles the shift; an eligible independent reviewer approves it. Reza can certify the day only if the ordinary-user rules permit his participation history.</w:t>
      </w:r>
    </w:p>
    <w:p>
      <w:r>
        <w:rPr>
          <w:b w:val="0"/>
        </w:rPr>
        <w:t>Darya prepares monetary inputs; Kamran approves them. Quantity close, materiality review when required, and finance sign-off have distinct independence conditions. Maryam can close an RCA only if she has not participated in the investigation or otherwise become ineligible.</w:t>
      </w:r>
    </w:p>
    <w:p>
      <w:r>
        <w:rPr>
          <w:b w:val="0"/>
        </w:rPr>
        <w:t>A manager role does not automatically grant finance, quality, metrology or accountant-only capabilities. Unit-scoped access does not grant access to every unit. Temporary delegation is bounded and does not erase an authorship conflict.</w:t>
      </w:r>
    </w:p>
    <w:p>
      <w:r>
        <w:rPr>
          <w:b w:val="0"/>
        </w:rPr>
        <w:t>The SuperAdmin conflict is described near the start of this guide. Teach normal handoffs first. If the verified deployment supports a privileged single-person demonstration, every required approval action and its actual identity must still be recorded.</w:t>
      </w:r>
    </w:p>
    <w:p>
      <w:r>
        <w:br w:type="page"/>
      </w:r>
    </w:p>
    <w:p>
      <w:pPr>
        <w:pStyle w:val="Heading1"/>
      </w:pPr>
      <w:r>
        <w:t>23 Complete reconciliation and approval in the application</w:t>
      </w:r>
    </w:p>
    <w:p>
      <w:r>
        <w:rPr>
          <w:b w:val="0"/>
        </w:rPr>
        <w:t>Use the following walk-through after configuration and source intake are ready. Route placeholders identify existing records; do not type placeholder text as a record ID. [A1, A6]</w:t>
      </w:r>
    </w:p>
    <w:p>
      <w:r>
        <w:rPr>
          <w:b w:val="0"/>
        </w:rPr>
        <w:t xml:space="preserve">1. </w:t>
      </w:r>
      <w:r>
        <w:rPr>
          <w:b/>
        </w:rPr>
        <w:t>Planning and period selection.</w:t>
      </w:r>
      <w:r>
        <w:rPr>
          <w:b w:val="0"/>
        </w:rPr>
        <w:t xml:space="preserve"> Open the approved plan and its Shift A period. Confirm unit, product, 06:00 to 14:00 window, target 224 t, calendar and rate versions.</w:t>
      </w:r>
    </w:p>
    <w:p>
      <w:r>
        <w:rPr>
          <w:b w:val="0"/>
        </w:rPr>
        <w:t xml:space="preserve">2. </w:t>
      </w:r>
      <w:r>
        <w:rPr>
          <w:b/>
        </w:rPr>
        <w:t>Event Hub.</w:t>
      </w:r>
      <w:r>
        <w:rPr>
          <w:b w:val="0"/>
        </w:rPr>
        <w:t xml:space="preserve"> Confirm one full stop from 08:00 to 09:00. Review source identity, duplicates, reason, origin and failure evidence. Complete the required coding verification and failure validation.</w:t>
      </w:r>
    </w:p>
    <w:p>
      <w:r>
        <w:rPr>
          <w:b w:val="0"/>
        </w:rPr>
        <w:t xml:space="preserve">3. </w:t>
      </w:r>
      <w:r>
        <w:rPr>
          <w:b/>
        </w:rPr>
        <w:t>Actuals &amp; quality.</w:t>
      </w:r>
      <w:r>
        <w:rPr>
          <w:b w:val="0"/>
        </w:rPr>
        <w:t xml:space="preserve"> Confirm counter provenance and 192 t gross output. Record and approve the 2 t downgrade so good output becomes 190 t. Check coverage and any missing-reject flags.</w:t>
      </w:r>
    </w:p>
    <w:p>
      <w:r>
        <w:rPr>
          <w:b w:val="0"/>
        </w:rPr>
        <w:t xml:space="preserve">4. </w:t>
      </w:r>
      <w:r>
        <w:rPr>
          <w:b/>
        </w:rPr>
        <w:t>Review &amp; close.</w:t>
      </w:r>
      <w:r>
        <w:rPr>
          <w:b w:val="0"/>
        </w:rPr>
        <w:t xml:space="preserve"> Recompute and wait for the job to finish. Confirm the calculation uses the intended inputs. A click or a queued job is not proof of completion.</w:t>
      </w:r>
    </w:p>
    <w:p>
      <w:r>
        <w:rPr>
          <w:b w:val="0"/>
        </w:rPr>
        <w:t xml:space="preserve">5. </w:t>
      </w:r>
      <w:r>
        <w:rPr>
          <w:b/>
        </w:rPr>
        <w:t>Reconciliation.</w:t>
      </w:r>
      <w:r>
        <w:rPr>
          <w:b w:val="0"/>
        </w:rPr>
        <w:t xml:space="preserve"> Inspect Plan and Capacity separately. Capacity should show 28 t availability, 4 t performance, 2 t quality and 190 t good. Plan may initially retain a 4 t residual.</w:t>
      </w:r>
    </w:p>
    <w:p>
      <w:r>
        <w:rPr>
          <w:b w:val="0"/>
        </w:rPr>
        <w:t xml:space="preserve">6. </w:t>
      </w:r>
      <w:r>
        <w:rPr>
          <w:b/>
        </w:rPr>
        <w:t>Explain the gap.</w:t>
      </w:r>
      <w:r>
        <w:rPr>
          <w:b w:val="0"/>
        </w:rPr>
        <w:t xml:space="preserve"> Use the counter evidence to support the 4 t rate-deficit line if it is not already represented. Do not duplicate the quality disposition or accept an unsupported deeper cause.</w:t>
      </w:r>
    </w:p>
    <w:p>
      <w:r>
        <w:rPr>
          <w:b w:val="0"/>
        </w:rPr>
        <w:t xml:space="preserve">7. </w:t>
      </w:r>
      <w:r>
        <w:rPr>
          <w:b/>
        </w:rPr>
        <w:t>Save and submit.</w:t>
      </w:r>
      <w:r>
        <w:rPr>
          <w:b w:val="0"/>
        </w:rPr>
        <w:t xml:space="preserve"> Resolve missing evidence, source conflicts, excess claims and residual gates. Save the draft before leaving. A balanced draft remains unapproved work.</w:t>
      </w:r>
    </w:p>
    <w:p>
      <w:r>
        <w:rPr>
          <w:b w:val="0"/>
        </w:rPr>
        <w:t xml:space="preserve">8. </w:t>
      </w:r>
      <w:r>
        <w:rPr>
          <w:b/>
        </w:rPr>
        <w:t>Independent review.</w:t>
      </w:r>
      <w:r>
        <w:rPr>
          <w:b w:val="0"/>
        </w:rPr>
        <w:t xml:space="preserve"> The eligible reviewer checks quantities, evidence, current calculation context and line authorship. Approve or reject with a reason. Approval freezes an identifiable revision.</w:t>
      </w:r>
    </w:p>
    <w:p>
      <w:r>
        <w:rPr>
          <w:b w:val="0"/>
        </w:rPr>
        <w:t xml:space="preserve">9. </w:t>
      </w:r>
      <w:r>
        <w:rPr>
          <w:b/>
        </w:rPr>
        <w:t>Verify readback.</w:t>
      </w:r>
      <w:r>
        <w:rPr>
          <w:b w:val="0"/>
        </w:rPr>
        <w:t xml:space="preserve"> Open History and the approved view. Compare the snapshot with the intended totals and inspect the Value section’s basis and provisional status.</w:t>
      </w:r>
    </w:p>
    <w:p>
      <w:pPr>
        <w:pStyle w:val="Heading2"/>
      </w:pPr>
      <w:r>
        <w:t>When the source changes during editing</w:t>
      </w:r>
    </w:p>
    <w:p>
      <w:r>
        <w:rPr>
          <w:b w:val="0"/>
        </w:rPr>
        <w:t>A new calculation can make a draft stale. Review the newer inputs and use the supported rebase or revision process. Do not repeatedly overwrite the server with an old draft. Current calculated data and an approved historical snapshot can legitimately differ until the correction is reviewed.</w:t>
      </w:r>
    </w:p>
    <w:p>
      <w:pPr>
        <w:pStyle w:val="Heading2"/>
      </w:pPr>
      <w:r>
        <w:t>Tolerance is not an explanation</w:t>
      </w:r>
    </w:p>
    <w:p>
      <w:r>
        <w:rPr>
          <w:b w:val="0"/>
        </w:rPr>
        <w:t>A nonzero reconciliation tolerance should come from an approved uncertainty basis and a separate accounting adoption decision. It is not a convenient allowance for uncoded losses, missing sources or wrong units. The baseline needs zero residual and no tolerance adjustment. [A2]</w:t>
      </w:r>
    </w:p>
    <w:p>
      <w:r>
        <w:br w:type="page"/>
      </w:r>
    </w:p>
    <w:p>
      <w:pPr>
        <w:pStyle w:val="Heading1"/>
      </w:pPr>
      <w:r>
        <w:t>24 Certify the day and close the month</w:t>
      </w:r>
    </w:p>
    <w:p>
      <w:r>
        <w:rPr>
          <w:b w:val="0"/>
        </w:rPr>
        <w:t>Shift approval, day certification and month close are different decisions. Completing one does not automatically complete the next. For the teaching day, approve A, B and C, then certify the day’s 622 t good output and 50 t loss under the documented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Month state</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Meaning</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Key responsibility</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Open</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Periods and corrections remain in workflow</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Production and accounting</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Quantities closed</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Required periods and days are complete; physical quantities signed</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Plant-wide manager approver</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Finance signed off</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Required valuation and materiality checks completed</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Eligible plant-wide finance approver</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Locked</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Ordinary direct changes are refused</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Finance approver records the lock</w:t>
            </w:r>
          </w:p>
        </w:tc>
      </w:tr>
    </w:tbl>
    <w:p>
      <w:pPr>
        <w:spacing w:after="20"/>
      </w:pPr>
    </w:p>
    <w:p>
      <w:r>
        <w:rPr>
          <w:b w:val="0"/>
        </w:rPr>
        <w:t>The month-close workspace separates Overview, Periods, Days, Proposals and History. Counts are authoritative totals, while displayed examples can be capped samples. My queue is a personal work list, not proof that every period in the month is complete. [A2, A4]</w:t>
      </w:r>
    </w:p>
    <w:p>
      <w:r>
        <w:rPr>
          <w:b w:val="0"/>
        </w:rPr>
        <w:t>Unapproved periods, uncertified days and unresolved proposals can block close. If materiality review is required, its reviewer must be eligible and independent of the quantity signer. Finance sign-off must satisfy the documented independence rules. A permitted finance signer may also perform the final lock.</w:t>
      </w:r>
    </w:p>
    <w:p>
      <w:pPr>
        <w:pStyle w:val="Heading2"/>
      </w:pPr>
      <w:r>
        <w:t>A late laboratory result</w:t>
      </w:r>
    </w:p>
    <w:p>
      <w:r>
        <w:rPr>
          <w:b w:val="0"/>
        </w:rPr>
        <w:t>Assume Shift A was approved with 2 t downgraded. Later evidence proves that the affected quantity was 3 t. Gross output remains 192 t; good becomes 189 t; quality loss becomes 3 t; and the baseline plan gap becomes 35 t. The expanded day changes from 622 to 621 t good and from 50 to 51 t loss.</w:t>
      </w:r>
    </w:p>
    <w:p>
      <w:r>
        <w:rPr>
          <w:b w:val="0"/>
        </w:rPr>
        <w:t>Create a correction proposal with lot evidence, reason and affected period. If accepted, follow the supported revision, reapproval, recertification and posting process. Preserve the original 190 t shift snapshot and the reason for the new 189 t result.</w:t>
      </w:r>
    </w:p>
    <w:p>
      <w:r>
        <w:rPr>
          <w:b w:val="0"/>
        </w:rPr>
        <w:t>A locked month refuses direct revision and ordinary reopening. Before lock, reopening from eligible close states clears earlier sign-offs. After lock, use the controlled correction and restatement workflow rather than rewriting the underlying database. [A2]</w:t>
      </w:r>
    </w:p>
    <w:p>
      <w:r>
        <w:rPr>
          <w:b w:val="0"/>
        </w:rPr>
        <w:t>Operational date identifies when production occurred. Financial posting date identifies how finance records the correction. They need not be the same, and finance owns the posting treatment.</w:t>
      </w:r>
    </w:p>
    <w:p>
      <w:r>
        <w:br w:type="page"/>
      </w:r>
    </w:p>
    <w:p>
      <w:pPr>
        <w:pStyle w:val="Heading1"/>
      </w:pPr>
      <w:r>
        <w:t>25 Investigate the gearbox problem with RCA</w:t>
      </w:r>
    </w:p>
    <w:p>
      <w:r>
        <w:rPr>
          <w:b w:val="0"/>
        </w:rPr>
        <w:t>Root cause analysis begins with a precise problem statement and an evidence package. Link the approved event and loss to the case: “Training extruder stopped from 08:00 to 09:00, losing 28 t of capability during Grade A production.” Preserve the 4 t rate deficit as a separate observed problem unless evidence links it to the same cause.</w:t>
      </w:r>
    </w:p>
    <w:p>
      <w:pPr>
        <w:pStyle w:val="Heading2"/>
      </w:pPr>
      <w:r>
        <w:t>Build a causal explanation</w:t>
      </w:r>
    </w:p>
    <w:p>
      <w:r>
        <w:rPr>
          <w:b w:val="0"/>
        </w:rPr>
        <w:t>The following investigation is fictional and demonstrates method. Suppose evidence includes a gearbox trip record, lubricant sample, inspection photographs and maintenance history. A hypothesis is that contamination degraded lubrication. Another is that a cooling restriction caused the temperature rise. An alarm alone cannot choose between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Investigation step</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Evidence to seek</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What would remain unproven</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Confirm functional failure</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Trip sequence and lost duty</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The physical degradation mechanism</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Identify mechanism</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Inspection and lubricant analysis</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Why the mechanism was allowed to develop</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Test contributing conditions</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Temperature, loading and service history</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Whether a condition was causal or incidental</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Examine management causes</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Inspection plan, limits and follow-up records</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Whether a proposed action will prevent recurrence</w:t>
            </w:r>
          </w:p>
        </w:tc>
      </w:tr>
    </w:tbl>
    <w:p>
      <w:pPr>
        <w:spacing w:after="20"/>
      </w:pPr>
    </w:p>
    <w:p>
      <w:r>
        <w:rPr>
          <w:b w:val="0"/>
        </w:rPr>
        <w:t>Use an event timeline to establish sequence, a fishbone to organize hypotheses, evidence-bearing 5 Whys to test a causal chain, and failure modes and effects analysis (FMEA), fault-tree, barrier or change analysis where relevant. These are complementary methods; filling every diagram does not substitute for evidence. [A1, A2]</w:t>
      </w:r>
    </w:p>
    <w:p>
      <w:pPr>
        <w:pStyle w:val="Heading2"/>
      </w:pPr>
      <w:r>
        <w:t>Separate repair from prevention</w:t>
      </w:r>
    </w:p>
    <w:p>
      <w:r>
        <w:rPr>
          <w:b w:val="0"/>
        </w:rPr>
        <w:t>Replacing a damaged component restores function. A preventive action might revise contamination detection and response, if the evidence supports that cause. Each action needs an owner, due date, completion evidence and a verification method. Process or equipment changes follow the site’s normal change-management process.</w:t>
      </w:r>
    </w:p>
    <w:p>
      <w:pPr>
        <w:pStyle w:val="Heading2"/>
      </w:pPr>
      <w:r>
        <w:t>Verify effectiveness</w:t>
      </w:r>
    </w:p>
    <w:p>
      <w:r>
        <w:rPr>
          <w:b w:val="0"/>
        </w:rPr>
        <w:t>Assume the preceding 600 comparable operating hours contain three similar failures. Monitor the next 600 comparable hours after the action, with similar duty and reliable detection. Zero observed recurrences would be encouraging evidence, not proof of zero future failure risk. Record changes in grade mix, loading, maintenance and coverage.</w:t>
      </w:r>
    </w:p>
    <w:p>
      <w:r>
        <w:rPr>
          <w:b w:val="0"/>
        </w:rPr>
        <w:t>The application distinguishes approved historical loss, claimed avoided loss and measured realized outcome. Do not simply multiply three past failures by 28 t and book the result as realized savings.</w:t>
      </w:r>
    </w:p>
    <w:p>
      <w:r>
        <w:rPr>
          <w:b w:val="0"/>
        </w:rPr>
        <w:t>Move through Draft, In Progress, Analysis and Monitoring using the configured evidence gates. Only Closure Review can move to Closed with an eligible independent reviewer. An honest outcome can be effective, not effective or insufficient evidence. Completed tasks alone do not establish effectiveness.</w:t>
      </w:r>
    </w:p>
    <w:p>
      <w:r>
        <w:br w:type="page"/>
      </w:r>
    </w:p>
    <w:p>
      <w:pPr>
        <w:pStyle w:val="Heading1"/>
      </w:pPr>
      <w:r>
        <w:t>26 Use the reports to decide what to do next</w:t>
      </w:r>
    </w:p>
    <w:p>
      <w:r>
        <w:rPr>
          <w:b w:val="0"/>
        </w:rPr>
        <w:t>Begin each review with the same plant, unit, product, time window, ledger and approval context. Many apparent disagreements between screens are differences in scope. A current calculation can include new observations that an approved snapshot does not yet include. [A1, A2]</w:t>
      </w:r>
    </w:p>
    <w:p>
      <w:pPr>
        <w:pStyle w:val="Heading2"/>
      </w:pPr>
      <w:r>
        <w:t>PLA analysis</w:t>
      </w:r>
    </w:p>
    <w:p>
      <w:r>
        <w:rPr>
          <w:b w:val="0"/>
        </w:rPr>
        <w:t>Use Waterfall to check conservation, Losses to examine reasons and repeated causes, Trends to compare periods, Reconciliation to find residuals and aging, and OEE to read the operational or reconciled factors. Switch between Plan and Capacity deliberately.</w:t>
      </w:r>
    </w:p>
    <w:p>
      <w:r>
        <w:rPr>
          <w:b w:val="0"/>
        </w:rPr>
        <w:t>The teaching day’s quantity ranking is availability 42 t, performance 4 t and quality 4 t. That suggests investigating the stop exposure, but severity, recurrence, value and feasibility also matter. A high-frequency small loss can be important even if it is not the longest individual event.</w:t>
      </w:r>
    </w:p>
    <w:p>
      <w:pPr>
        <w:pStyle w:val="Heading2"/>
      </w:pPr>
      <w:r>
        <w:t>Downtime analysis</w:t>
      </w:r>
    </w:p>
    <w:p>
      <w:r>
        <w:rPr>
          <w:b w:val="0"/>
        </w:rPr>
        <w:t>Compare duration and frequency by reason and asset, then inspect the actual events. Keep full stops, micro-stops and equivalent downtime distinct. Inspect failure qualification and exposure before using MTBF, and repair evidence before using MTTR. Use controllable availability only as a clearly labelled supplemental view.</w:t>
      </w:r>
    </w:p>
    <w:p>
      <w:pPr>
        <w:pStyle w:val="Heading2"/>
      </w:pPr>
      <w:r>
        <w:t>A practical operating rhythm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4176"/>
        <w:gridCol w:w="3528"/>
      </w:tblGrid>
      <w:tr>
        <w:trPr>
          <w:cantSplit/>
          <w:tblHeader/>
        </w:trPr>
        <w:tc>
          <w:tcPr>
            <w:tcW w:type="dxa" w:w="2131"/>
            <w:vAlign w:val="center"/>
            <w:tcMar>
              <w:top w:w="75" w:type="dxa"/>
              <w:left w:w="75" w:type="dxa"/>
              <w:bottom w:w="75" w:type="dxa"/>
              <w:right w:w="75" w:type="dxa"/>
            </w:tcMar>
            <w:shd w:fill="173B57"/>
          </w:tcPr>
          <w:p>
            <w:pPr>
              <w:spacing w:after="0" w:before="0" w:line="252" w:lineRule="auto"/>
              <w:jc w:val="center"/>
            </w:pPr>
            <w:r>
              <w:rPr>
                <w:b/>
                <w:color w:val="FFFFFF"/>
                <w:sz w:val="18"/>
              </w:rPr>
              <w:t>Rhythm</w:t>
            </w:r>
          </w:p>
        </w:tc>
        <w:tc>
          <w:tcPr>
            <w:tcW w:type="dxa" w:w="4176"/>
            <w:vAlign w:val="center"/>
            <w:tcMar>
              <w:top w:w="75" w:type="dxa"/>
              <w:left w:w="75" w:type="dxa"/>
              <w:bottom w:w="75" w:type="dxa"/>
              <w:right w:w="75" w:type="dxa"/>
            </w:tcMar>
            <w:shd w:fill="173B57"/>
          </w:tcPr>
          <w:p>
            <w:pPr>
              <w:spacing w:after="0" w:before="0" w:line="252" w:lineRule="auto"/>
              <w:jc w:val="center"/>
            </w:pPr>
            <w:r>
              <w:rPr>
                <w:b/>
                <w:color w:val="FFFFFF"/>
                <w:sz w:val="18"/>
              </w:rPr>
              <w:t>Question</w:t>
            </w:r>
          </w:p>
        </w:tc>
        <w:tc>
          <w:tcPr>
            <w:tcW w:type="dxa" w:w="3528"/>
            <w:vAlign w:val="center"/>
            <w:tcMar>
              <w:top w:w="75" w:type="dxa"/>
              <w:left w:w="75" w:type="dxa"/>
              <w:bottom w:w="75" w:type="dxa"/>
              <w:right w:w="75" w:type="dxa"/>
            </w:tcMar>
            <w:shd w:fill="173B57"/>
          </w:tcPr>
          <w:p>
            <w:pPr>
              <w:spacing w:after="0" w:before="0" w:line="252" w:lineRule="auto"/>
              <w:jc w:val="center"/>
            </w:pPr>
            <w:r>
              <w:rPr>
                <w:b/>
                <w:color w:val="FFFFFF"/>
                <w:sz w:val="18"/>
              </w:rPr>
              <w:t>Resulting action</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Each shift</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Are sources healthy and events correctly described?</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Resolve missing data, incomplete stops and lot evidence.</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Daily</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Do approved tonnes, losses and plans reconcile?</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Approve eligible shifts and certify the day.</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Weekly</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Which recurring causes deserve investigation?</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Assign RCA or improvement work with an owner.</w:t>
            </w:r>
          </w:p>
        </w:tc>
      </w:tr>
      <w:tr>
        <w:trPr>
          <w:cantSplit/>
        </w:trPr>
        <w:tc>
          <w:tcPr>
            <w:tcW w:type="dxa" w:w="2131"/>
            <w:vAlign w:val="center"/>
            <w:tcMar>
              <w:top w:w="75" w:type="dxa"/>
              <w:left w:w="75" w:type="dxa"/>
              <w:bottom w:w="75" w:type="dxa"/>
              <w:right w:w="75" w:type="dxa"/>
            </w:tcMar>
            <w:shd w:fill="FFFFFF"/>
          </w:tcPr>
          <w:p>
            <w:pPr>
              <w:spacing w:after="0" w:before="0" w:line="252" w:lineRule="auto"/>
            </w:pPr>
            <w:r>
              <w:rPr>
                <w:b w:val="0"/>
                <w:color w:val="000000"/>
                <w:sz w:val="18"/>
              </w:rPr>
              <w:t>Monthly</w:t>
            </w:r>
          </w:p>
        </w:tc>
        <w:tc>
          <w:tcPr>
            <w:tcW w:type="dxa" w:w="4176"/>
            <w:vAlign w:val="center"/>
            <w:tcMar>
              <w:top w:w="75" w:type="dxa"/>
              <w:left w:w="75" w:type="dxa"/>
              <w:bottom w:w="75" w:type="dxa"/>
              <w:right w:w="75" w:type="dxa"/>
            </w:tcMar>
            <w:shd w:fill="FFFFFF"/>
          </w:tcPr>
          <w:p>
            <w:pPr>
              <w:spacing w:after="0" w:before="0" w:line="252" w:lineRule="auto"/>
            </w:pPr>
            <w:r>
              <w:rPr>
                <w:b w:val="0"/>
                <w:color w:val="000000"/>
                <w:sz w:val="18"/>
              </w:rPr>
              <w:t>Are quantities and financial values complete and controlled?</w:t>
            </w:r>
          </w:p>
        </w:tc>
        <w:tc>
          <w:tcPr>
            <w:tcW w:type="dxa" w:w="3528"/>
            <w:vAlign w:val="center"/>
            <w:tcMar>
              <w:top w:w="75" w:type="dxa"/>
              <w:left w:w="75" w:type="dxa"/>
              <w:bottom w:w="75" w:type="dxa"/>
              <w:right w:w="75" w:type="dxa"/>
            </w:tcMar>
            <w:shd w:fill="FFFFFF"/>
          </w:tcPr>
          <w:p>
            <w:pPr>
              <w:spacing w:after="0" w:before="0" w:line="252" w:lineRule="auto"/>
            </w:pPr>
            <w:r>
              <w:rPr>
                <w:b w:val="0"/>
                <w:color w:val="000000"/>
                <w:sz w:val="18"/>
              </w:rPr>
              <w:t>Close, sign off and retain approved reports.</w:t>
            </w:r>
          </w:p>
        </w:tc>
      </w:tr>
      <w:tr>
        <w:trPr>
          <w:cantSplit/>
        </w:trPr>
        <w:tc>
          <w:tcPr>
            <w:tcW w:type="dxa" w:w="2131"/>
            <w:vAlign w:val="center"/>
            <w:tcMar>
              <w:top w:w="75" w:type="dxa"/>
              <w:left w:w="75" w:type="dxa"/>
              <w:bottom w:w="75" w:type="dxa"/>
              <w:right w:w="75" w:type="dxa"/>
            </w:tcMar>
            <w:shd w:fill="F1F5F7"/>
          </w:tcPr>
          <w:p>
            <w:pPr>
              <w:spacing w:after="0" w:before="0" w:line="252" w:lineRule="auto"/>
            </w:pPr>
            <w:r>
              <w:rPr>
                <w:b w:val="0"/>
                <w:color w:val="000000"/>
                <w:sz w:val="18"/>
              </w:rPr>
              <w:t>After an action</w:t>
            </w:r>
          </w:p>
        </w:tc>
        <w:tc>
          <w:tcPr>
            <w:tcW w:type="dxa" w:w="4176"/>
            <w:vAlign w:val="center"/>
            <w:tcMar>
              <w:top w:w="75" w:type="dxa"/>
              <w:left w:w="75" w:type="dxa"/>
              <w:bottom w:w="75" w:type="dxa"/>
              <w:right w:w="75" w:type="dxa"/>
            </w:tcMar>
            <w:shd w:fill="F1F5F7"/>
          </w:tcPr>
          <w:p>
            <w:pPr>
              <w:spacing w:after="0" w:before="0" w:line="252" w:lineRule="auto"/>
            </w:pPr>
            <w:r>
              <w:rPr>
                <w:b w:val="0"/>
                <w:color w:val="000000"/>
                <w:sz w:val="18"/>
              </w:rPr>
              <w:t>Did comparable operation improve?</w:t>
            </w:r>
          </w:p>
        </w:tc>
        <w:tc>
          <w:tcPr>
            <w:tcW w:type="dxa" w:w="3528"/>
            <w:vAlign w:val="center"/>
            <w:tcMar>
              <w:top w:w="75" w:type="dxa"/>
              <w:left w:w="75" w:type="dxa"/>
              <w:bottom w:w="75" w:type="dxa"/>
              <w:right w:w="75" w:type="dxa"/>
            </w:tcMar>
            <w:shd w:fill="F1F5F7"/>
          </w:tcPr>
          <w:p>
            <w:pPr>
              <w:spacing w:after="0" w:before="0" w:line="252" w:lineRule="auto"/>
            </w:pPr>
            <w:r>
              <w:rPr>
                <w:b w:val="0"/>
                <w:color w:val="000000"/>
                <w:sz w:val="18"/>
              </w:rPr>
              <w:t>Record effectiveness and any remaining risk.</w:t>
            </w:r>
          </w:p>
        </w:tc>
      </w:tr>
    </w:tbl>
    <w:p>
      <w:pPr>
        <w:spacing w:after="20"/>
      </w:pPr>
    </w:p>
    <w:p>
      <w:r>
        <w:rPr>
          <w:b w:val="0"/>
        </w:rPr>
        <w:t>These meeting rhythms are recommended training practice, not automatically scheduled application jobs.</w:t>
      </w:r>
    </w:p>
    <w:p>
      <w:r>
        <w:rPr>
          <w:b w:val="0"/>
        </w:rPr>
        <w:t>Exports should identify the selected ledger, scope, approval revision and valuation basis. The application generates exports asynchronously and re-authorizes downloads; verify the completed file rather than assuming a requested export is ready.</w:t>
      </w:r>
    </w:p>
    <w:p>
      <w:r>
        <w:rPr>
          <w:b w:val="0"/>
        </w:rPr>
      </w:r>
      <w:r>
        <w:rPr>
          <w:b/>
        </w:rPr>
        <w:t>Checkpoint:</w:t>
      </w:r>
      <w:r>
        <w:rPr>
          <w:b w:val="0"/>
        </w:rPr>
        <w:t xml:space="preserve"> A 100% coded-downtime ratio only means time has a reason code. It does not prove the reason is correct, the root cause is known or all production losses have been explained.</w:t>
      </w:r>
    </w:p>
    <w:p>
      <w:r>
        <w:br w:type="page"/>
      </w:r>
    </w:p>
    <w:p>
      <w:pPr>
        <w:pStyle w:val="Heading1"/>
      </w:pPr>
      <w:r>
        <w:t>27 Commission the plant before relying on reports</w:t>
      </w:r>
    </w:p>
    <w:p>
      <w:r>
        <w:rPr>
          <w:b w:val="0"/>
        </w:rPr>
        <w:t>Commissioning is the controlled demonstration that real site configuration, source data and roles work together. The supplied manuals record substantial synthetic validation, but they explicitly leave real site acceptance outstanding. [A4]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tcMar>
              <w:top w:w="75" w:type="dxa"/>
              <w:left w:w="75" w:type="dxa"/>
              <w:bottom w:w="75" w:type="dxa"/>
              <w:right w:w="75" w:type="dxa"/>
            </w:tcMar>
            <w:shd w:fill="173B57"/>
          </w:tcPr>
          <w:p>
            <w:pPr>
              <w:spacing w:after="0" w:before="0" w:line="252" w:lineRule="auto"/>
              <w:jc w:val="center"/>
            </w:pPr>
            <w:r>
              <w:rPr>
                <w:b/>
                <w:color w:val="FFFFFF"/>
                <w:sz w:val="18"/>
              </w:rPr>
              <w:t>Test</w:t>
            </w:r>
          </w:p>
        </w:tc>
        <w:tc>
          <w:tcPr>
            <w:tcW w:type="dxa" w:w="6883"/>
            <w:vAlign w:val="center"/>
            <w:tcMar>
              <w:top w:w="75" w:type="dxa"/>
              <w:left w:w="75" w:type="dxa"/>
              <w:bottom w:w="75" w:type="dxa"/>
              <w:right w:w="75" w:type="dxa"/>
            </w:tcMar>
            <w:shd w:fill="173B57"/>
          </w:tcPr>
          <w:p>
            <w:pPr>
              <w:spacing w:after="0" w:before="0" w:line="252" w:lineRule="auto"/>
              <w:jc w:val="center"/>
            </w:pPr>
            <w:r>
              <w:rPr>
                <w:b/>
                <w:color w:val="FFFFFF"/>
                <w:sz w:val="18"/>
              </w:rPr>
              <w:t>Required demonstration</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Product and scope</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The intended plant-owned grade appears in profiles and plans; unauthorized units remain inaccessible.</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Calendar</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Overnight shifts and the operational day align in plant time and UTC.</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Rate versions</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Missing rates are flagged; approved effective changes segment correctly.</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Intake and identity</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A known source record appears once with correct unit, time and quality; replay does not duplicate production.</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State and quantity</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A genuine stop differs from missing data; counter totals match the trusted source.</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Quality</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Approved dispositions change first-pass good without duplicating quality loss.</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Baseline arithmetic</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224 t reconciles to 28 + 4 + 2 + 190; plan residual falls from 4 to 0 only with explanation.</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Exception handling</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Overlaps, counter resets, micro-stops, unknown state and cross-shift events behave as approved.</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Approvals and close</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Ordinary users cannot approve prohibited self-authored work; day and month gates are enforced.</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Correction and recovery</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Late evidence creates an auditable revision; a restored test system preserves approved history.</w:t>
            </w:r>
          </w:p>
        </w:tc>
      </w:tr>
    </w:tbl>
    <w:p>
      <w:pPr>
        <w:spacing w:after="20"/>
      </w:pPr>
    </w:p>
    <w:p>
      <w:r>
        <w:rPr>
          <w:b w:val="0"/>
        </w:rPr>
        <w:t>Define expected and actual results, user, configuration version, record IDs and evidence location for each test. A successful login, green connection indicator or attractive screenshot is not sufficient acceptance evidence.</w:t>
      </w:r>
    </w:p>
    <w:p>
      <w:pPr>
        <w:pStyle w:val="Heading2"/>
      </w:pPr>
      <w:r>
        <w:t>Use a shadow period</w:t>
      </w:r>
    </w:p>
    <w:p>
      <w:r>
        <w:rPr>
          <w:b w:val="0"/>
        </w:rPr>
        <w:t>For a site-selected period, compare application totals with an independently prepared production account using the same boundary and definitions. Explain differences before accepting the result. The duration and acceptance tolerances should be approved by the site; they are not universal settings.</w:t>
      </w:r>
    </w:p>
    <w:p>
      <w:pPr>
        <w:pStyle w:val="Heading2"/>
      </w:pPr>
      <w:r>
        <w:t>Resolve the remaining site inputs</w:t>
      </w:r>
    </w:p>
    <w:p>
      <w:r>
        <w:rPr>
          <w:b w:val="0"/>
        </w:rPr>
        <w:t>Confirm current product specifications, real unit and asset mapping, approved grade rates, transition standards, usable buffer definitions, signal authority, laboratory rules, source-quality behavior, uncertainty budgets, financial rates, retention policy and the deployed approval behavior.</w:t>
      </w:r>
    </w:p>
    <w:p>
      <w:r>
        <w:rPr>
          <w:b w:val="0"/>
        </w:rPr>
        <w:t>The application is an information and approval system. It does not command the extruder or replace process-control, laboratory or maintenance systems. A documented integration term does not guarantee that every industrial protocol or external notification channel is implemented. [A2, A4]</w:t>
      </w:r>
    </w:p>
    <w:p>
      <w:r>
        <w:rPr>
          <w:b w:val="0"/>
        </w:rPr>
      </w:r>
      <w:r>
        <w:rPr>
          <w:b/>
        </w:rPr>
        <w:t>Completion criterion:</w:t>
      </w:r>
      <w:r>
        <w:rPr>
          <w:b w:val="0"/>
        </w:rPr>
        <w:t xml:space="preserve"> the plant can reproduce an approved production period from source evidence, explain every accepted loss and retrieve the associated approval history.</w:t>
      </w:r>
    </w:p>
    <w:p>
      <w:r>
        <w:br w:type="page"/>
      </w:r>
    </w:p>
    <w:p>
      <w:pPr>
        <w:pStyle w:val="Heading1"/>
      </w:pPr>
      <w:r>
        <w:t>28 Student exercises on the baseline</w:t>
      </w:r>
    </w:p>
    <w:p>
      <w:r>
        <w:rPr>
          <w:b w:val="0"/>
        </w:rPr>
        <w:t>Complete these exercises before reading lesson 30. Record the baseline, unit and time window beside every answer.</w:t>
      </w:r>
    </w:p>
    <w:p>
      <w:pPr>
        <w:pStyle w:val="Heading2"/>
      </w:pPr>
      <w:r>
        <w:t>Exercise 1 Explain the setup dependencies</w:t>
      </w:r>
    </w:p>
    <w:p>
      <w:r>
        <w:rPr>
          <w:b w:val="0"/>
        </w:rPr>
        <w:t>A student creates an organization-wide product, enters 28 in the unit’s legacy Capacity field and immediately creates a plan. The product is missing from the profile selector and capacity is unavailable. Identify the two configuration mistakes and the proper records to create.</w:t>
      </w:r>
    </w:p>
    <w:p>
      <w:pPr>
        <w:pStyle w:val="Heading2"/>
      </w:pPr>
      <w:r>
        <w:t>Exercise 2 Reproduce the baseline</w:t>
      </w:r>
    </w:p>
    <w:p>
      <w:r>
        <w:rPr>
          <w:b w:val="0"/>
        </w:rPr>
        <w:t>Use the counter and state history in lesson 12. Calculate scheduled time, running time, gross output, first-pass good output, availability loss, performance loss, quality loss and capacity residual. Then calculate A, P, Q and operational OEE to four decimal places.</w:t>
      </w:r>
    </w:p>
    <w:p>
      <w:pPr>
        <w:pStyle w:val="Heading2"/>
      </w:pPr>
      <w:r>
        <w:t>Exercise 3 Explain the residual</w:t>
      </w:r>
    </w:p>
    <w:p>
      <w:r>
        <w:rPr>
          <w:b w:val="0"/>
        </w:rPr>
        <w:t>The plan workspace contains accepted lines for the 28 t stop and 2 t downgrade. Actual good is 190 t and the target is 224 t. What is the residual? What evidence is needed before it becomes an attributed performance line? Does a zero residual prove the root cause?</w:t>
      </w:r>
    </w:p>
    <w:p>
      <w:pPr>
        <w:pStyle w:val="Heading2"/>
      </w:pPr>
      <w:r>
        <w:t>Exercise 4 Change only the target</w:t>
      </w:r>
    </w:p>
    <w:p>
      <w:r>
        <w:rPr>
          <w:b w:val="0"/>
        </w:rPr>
        <w:t>Keep all measurements and the sustained rate unchanged but set the approved target in a separate scenario to 200 t. Calculate plan achievement and OEE. Explain why they differ. Use the 25 t/h target-shaped reference to reconcile the stop, quality loss and running gain.</w:t>
      </w:r>
    </w:p>
    <w:p>
      <w:pPr>
        <w:pStyle w:val="Heading2"/>
      </w:pPr>
      <w:r>
        <w:t>Exercise 5 Review financial meaning</w:t>
      </w:r>
    </w:p>
    <w:p>
      <w:r>
        <w:rPr>
          <w:b w:val="0"/>
        </w:rPr>
        <w:t>At USD 150/t, calculate the baseline contribution-margin view. Then assume the 2 t downgrade sells at a USD 80/t discount, unmet demand exists for unproduced tonnes and there are no extra costs. Calculate the alternative economic view. Explain why the two results must not be added.</w:t>
      </w:r>
    </w:p>
    <w:p>
      <w:pPr>
        <w:pStyle w:val="Heading2"/>
      </w:pPr>
      <w:r>
        <w:t>Exercise 6 Review a proposed approval</w:t>
      </w:r>
    </w:p>
    <w:p>
      <w:r>
        <w:rPr>
          <w:b w:val="0"/>
        </w:rPr>
        <w:t>Sara prepares and submits a reconciliation. She also holds manager_approver. Reza did not author or submit it and holds the required scope. Who should perform the ordinary-user approval, and why? What evidence is needed before relying on the separate SuperAdmin demonstration path?</w:t>
      </w:r>
    </w:p>
    <w:p>
      <w:pPr>
        <w:pStyle w:val="Heading2"/>
      </w:pPr>
      <w:r>
        <w:t>Practical submission</w:t>
      </w:r>
    </w:p>
    <w:p>
      <w:r>
        <w:rPr>
          <w:b w:val="0"/>
        </w:rPr>
        <w:t>In a training environment, retain a screenshot or export of the selected period, source actuals, two ledgers, approved disposition, review history and final approval. Add a short explanation of the 4 t performance deficit and identify the uncertainty in its root cause. Do not use live plant mutations for classroom exercises.</w:t>
      </w:r>
    </w:p>
    <w:p>
      <w:r>
        <w:rPr>
          <w:b w:val="0"/>
        </w:rPr>
        <w:t>An instructor should assess the reasoning and evidence, not only the final numbers.</w:t>
      </w:r>
    </w:p>
    <w:p>
      <w:r>
        <w:br w:type="page"/>
      </w:r>
    </w:p>
    <w:p>
      <w:pPr>
        <w:pStyle w:val="Heading1"/>
      </w:pPr>
      <w:r>
        <w:t>29 Student exercises on operating complications</w:t>
      </w:r>
    </w:p>
    <w:p>
      <w:r>
        <w:rPr>
          <w:b w:val="0"/>
        </w:rPr>
        <w:t>Use each case independently. Do not add its figures to the baseline unless the question explicitly says to do so.</w:t>
      </w:r>
    </w:p>
    <w:p>
      <w:pPr>
        <w:pStyle w:val="Heading2"/>
      </w:pPr>
      <w:r>
        <w:t>Exercise 7 Overlapping stops</w:t>
      </w:r>
    </w:p>
    <w:p>
      <w:r>
        <w:rPr>
          <w:b w:val="0"/>
        </w:rPr>
        <w:t>A mechanical stop runs 08:00 to 09:00 and an electrical stop runs 08:40 to 09:20. The sustained rate is 28 t/h. Calculate the union of stopped time and its capacity loss. Explain why the sum of raw event durations is wrong.</w:t>
      </w:r>
    </w:p>
    <w:p>
      <w:pPr>
        <w:pStyle w:val="Heading2"/>
      </w:pPr>
      <w:r>
        <w:t>Exercise 8 Micro-stop at a shift boundary</w:t>
      </w:r>
    </w:p>
    <w:p>
      <w:r>
        <w:rPr>
          <w:b w:val="0"/>
        </w:rPr>
        <w:t>A 90-second interruption begins 45 seconds before the shift boundary and ends 45 seconds after it. The ordinary micro-stop threshold is 60 seconds. How should the occurrence be classified, and how should time be allocated to the two shifts?</w:t>
      </w:r>
    </w:p>
    <w:p>
      <w:pPr>
        <w:pStyle w:val="Heading2"/>
      </w:pPr>
      <w:r>
        <w:t>Exercise 9 Buffer cover</w:t>
      </w:r>
    </w:p>
    <w:p>
      <w:r>
        <w:rPr>
          <w:b w:val="0"/>
        </w:rPr>
        <w:t>Upstream feed stops for two hours. The extruder has 42 t of usable inventory and consumes 28 t/h. Assume immediate restart when upstream feed returns, no other constraints and adequate material quality. How long can it continue, and what downstream loss remains?</w:t>
      </w:r>
    </w:p>
    <w:p>
      <w:pPr>
        <w:pStyle w:val="Heading2"/>
      </w:pPr>
      <w:r>
        <w:t>Exercise 10 Planned maintenance</w:t>
      </w:r>
    </w:p>
    <w:p>
      <w:r>
        <w:rPr>
          <w:b w:val="0"/>
        </w:rPr>
        <w:t>An eight-hour window includes a preapproved two-hour schedule exclusion. Sustained rate is 28 t/h and the remaining six hours produce 168 t of first-pass good. Calculate excluded capacity and OEE on eligible scheduled time. How should the exclusion remain visible?</w:t>
      </w:r>
    </w:p>
    <w:p>
      <w:pPr>
        <w:pStyle w:val="Heading2"/>
      </w:pPr>
      <w:r>
        <w:t>Exercise 11 Late quality correction</w:t>
      </w:r>
    </w:p>
    <w:p>
      <w:r>
        <w:rPr>
          <w:b w:val="0"/>
        </w:rPr>
        <w:t>For the expanded production day, quality later approves 1 additional tonne of downgrade in Shift A. Calculate revised Shift A good output and loss, and revised daily good output and loss. Describe the workflow if the month is locked.</w:t>
      </w:r>
    </w:p>
    <w:p>
      <w:pPr>
        <w:pStyle w:val="Heading2"/>
      </w:pPr>
      <w:r>
        <w:t>Exercise 12 Reliability evidence</w:t>
      </w:r>
    </w:p>
    <w:p>
      <w:r>
        <w:rPr>
          <w:b w:val="0"/>
        </w:rPr>
        <w:t>A four-week window has 600 running hours and three qualifying failures. Their full outages last 2, 1 and 3 hours. Active repairs last 1, 0.5 and 1.5 hours. Calculate MTBF, mean downtime to restore and MTTR. Explain why the last two differ.</w:t>
      </w:r>
    </w:p>
    <w:p>
      <w:pPr>
        <w:pStyle w:val="Heading2"/>
      </w:pPr>
      <w:r>
        <w:t>Exercise 13 Select the correct response</w:t>
      </w:r>
    </w:p>
    <w:p>
      <w:r>
        <w:rPr>
          <w:b w:val="0"/>
        </w:rPr>
        <w:t>The source is unavailable for 20 minutes, an output counter is missing, and an operator proposes coding the interval as equipment downtime to make the report complete. What should the accountant do? State what further evidence could establish actual stopped time.</w:t>
      </w:r>
    </w:p>
    <w:p>
      <w:pPr>
        <w:pStyle w:val="Heading2"/>
      </w:pPr>
      <w:r>
        <w:t>Exercise 14 Assess an RCA claim</w:t>
      </w:r>
    </w:p>
    <w:p>
      <w:r>
        <w:rPr>
          <w:b w:val="0"/>
        </w:rPr>
        <w:t>A team completes a preventive action and observes no recurrence for one week, with half the normal production exposure. It claims all historical loss as realized savings. Identify the missing evidence and choose an appropriate effectiveness assessment.</w:t>
      </w:r>
    </w:p>
    <w:p>
      <w:r>
        <w:br w:type="page"/>
      </w:r>
    </w:p>
    <w:p>
      <w:pPr>
        <w:pStyle w:val="Heading1"/>
      </w:pPr>
      <w:r>
        <w:t>30 Worked answers for the baseline</w:t>
      </w:r>
    </w:p>
    <w:p>
      <w:pPr>
        <w:pStyle w:val="Heading2"/>
      </w:pPr>
      <w:r>
        <w:t>Answers 1 and 2</w:t>
      </w:r>
    </w:p>
    <w:p>
      <w:r>
        <w:rPr>
          <w:b w:val="0"/>
        </w:rPr>
        <w:t>Create the grade as a plant-owned product. Create and approve a production profile, then separately approve the sustained and planning rate versions. The legacy unit Capacity field is not the approved accounting rate.</w:t>
      </w:r>
    </w:p>
    <w:p>
      <w:r>
        <w:rPr>
          <w:b w:val="0"/>
        </w:rPr>
        <w:t>The baseline has 8 scheduled hours and 7 running hours. Gross is 192 t, downgrade is 2 t and good is 190 t. Availability loss is 28 t; performance loss is 4 t; quality loss is 2 t. Capacity residual is 0 t. A = 87.5000%, P = 97.9592%, Q = 98.9583%, and OEE = 84.8214%.</w:t>
      </w:r>
    </w:p>
    <w:p>
      <w:pPr>
        <w:pStyle w:val="Heading2"/>
      </w:pPr>
      <w:r>
        <w:t>Answer 3</w:t>
      </w:r>
    </w:p>
    <w:p>
      <w:r>
        <w:rPr>
          <w:b w:val="0"/>
        </w:rPr>
        <w:t>The plan gap is 34 t, accepted loss is 30 t and residual is 4 t. The counter or supported rate record establishes the rate deficit. A reason and evidence reference can attribute that observed performance loss. A deeper root cause requires investigation. Balance alone proves neither correct cause nor complete measurement quality.</w:t>
      </w:r>
    </w:p>
    <w:p>
      <w:pPr>
        <w:pStyle w:val="Heading2"/>
      </w:pPr>
      <w:r>
        <w:t>Answer 4</w:t>
      </w:r>
    </w:p>
    <w:p>
      <w:r>
        <w:rPr>
          <w:b w:val="0"/>
        </w:rPr>
        <w:t>Plan achievement is 190 / 200 = 95%. OEE remains 190 / 224 = 84.8214%. The target-shaped reference is 25 t/h. Stop loss is 25 t, quality loss is 2 t and running gain is 192 − (7 × 25) = 17 t. Net plan loss is 25 + 2 − 17 = 10 t. Capacity loss remains 34 t.</w:t>
      </w:r>
    </w:p>
    <w:p>
      <w:pPr>
        <w:pStyle w:val="Heading2"/>
      </w:pPr>
      <w:r>
        <w:t>Answer 5</w:t>
      </w:r>
    </w:p>
    <w:p>
      <w:r>
        <w:rPr>
          <w:b w:val="0"/>
        </w:rPr>
        <w:t>The margin view is 34 × 150 = USD 5,100. The economic view is 32 × 150 + 2 × 80 = USD 4,960. The 32 t was not produced; the 2 t was produced and sold at a discount. These views use different valuation logic on the same history. Adding them would duplicate the impact.</w:t>
      </w:r>
    </w:p>
    <w:p>
      <w:pPr>
        <w:pStyle w:val="Heading2"/>
      </w:pPr>
      <w:r>
        <w:t>Answer 6</w:t>
      </w:r>
    </w:p>
    <w:p>
      <w:r>
        <w:rPr>
          <w:b w:val="0"/>
        </w:rPr>
        <w:t>Reza should approve if he meets the workflow’s scope and participation checks. Sara’s additional role does not make her independent of her own submission. Before using the privileged exception, confirm the deployed build, required migration, authenticated role behavior and site authorization against the conflicting source documents. Do not assume the single-extruder PDF proves the installed state.</w:t>
      </w:r>
    </w:p>
    <w:p>
      <w:pPr>
        <w:pStyle w:val="Heading2"/>
      </w:pPr>
      <w:r>
        <w:t>What earns full credit</w:t>
      </w:r>
    </w:p>
    <w:p>
      <w:r>
        <w:rPr>
          <w:b w:val="0"/>
        </w:rPr>
        <w:t>State the selected ledger and denominator, show units, preserve unexplained quantities and identify the evidence required. An answer that forces residual to zero by inventing a cause is incorrect even if the arithmetic balances.</w:t>
      </w:r>
    </w:p>
    <w:p>
      <w:r>
        <w:rPr>
          <w:b w:val="0"/>
        </w:rPr>
        <w:t>The detailed field manual remains the reference for form validations. Classroom calculations establish the expected outcome; they do not prove that a particular local deployment has passed the exercise.</w:t>
      </w:r>
    </w:p>
    <w:p>
      <w:r>
        <w:br w:type="page"/>
      </w:r>
    </w:p>
    <w:p>
      <w:pPr>
        <w:pStyle w:val="Heading1"/>
      </w:pPr>
      <w:r>
        <w:t>31 Worked answers for the operating complications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tcMar>
              <w:top w:w="75" w:type="dxa"/>
              <w:left w:w="75" w:type="dxa"/>
              <w:bottom w:w="75" w:type="dxa"/>
              <w:right w:w="75" w:type="dxa"/>
            </w:tcMar>
            <w:shd w:fill="173B57"/>
          </w:tcPr>
          <w:p>
            <w:pPr>
              <w:spacing w:after="0" w:before="0" w:line="252" w:lineRule="auto"/>
              <w:jc w:val="center"/>
            </w:pPr>
            <w:r>
              <w:rPr>
                <w:b/>
                <w:color w:val="FFFFFF"/>
                <w:sz w:val="18"/>
              </w:rPr>
              <w:t>Exercise</w:t>
            </w:r>
          </w:p>
        </w:tc>
        <w:tc>
          <w:tcPr>
            <w:tcW w:type="dxa" w:w="6883"/>
            <w:vAlign w:val="center"/>
            <w:tcMar>
              <w:top w:w="75" w:type="dxa"/>
              <w:left w:w="75" w:type="dxa"/>
              <w:bottom w:w="75" w:type="dxa"/>
              <w:right w:w="75" w:type="dxa"/>
            </w:tcMar>
            <w:shd w:fill="173B57"/>
          </w:tcPr>
          <w:p>
            <w:pPr>
              <w:spacing w:after="0" w:before="0" w:line="252" w:lineRule="auto"/>
              <w:jc w:val="center"/>
            </w:pPr>
            <w:r>
              <w:rPr>
                <w:b/>
                <w:color w:val="FFFFFF"/>
                <w:sz w:val="18"/>
              </w:rPr>
              <w:t>Answer</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7 Overlap</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The union is 08:00 to 09:20, or 80 minutes. Loss is 28 × 80 / 60 = 37.3333 t. Raw durations sum to 100 minutes and double-count the shared 20 minutes.</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8 Threshold</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Classify the full 90-second occurrence against 60 seconds: it is an availability stop under the stated ordinary policy. Allocate 45 seconds to each shift without creating two failures.</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9 Buffer</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Cover is 42 / 28 = 1.5 hours. Downstream starvation lasts 0.5 hours, with 14 t potential loss at the stated rate.</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10 Exclusion</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Excluded capacity is 56 t. Eligible opportunity is 168 t and OEE is 100%. Show the exclusion separately in the calendar and capacity bridge.</w:t>
            </w:r>
          </w:p>
        </w:tc>
      </w:tr>
      <w:tr>
        <w:trPr>
          <w:cantSplit/>
        </w:trPr>
        <w:tc>
          <w:tcPr>
            <w:tcW w:type="dxa" w:w="2952"/>
            <w:vAlign w:val="center"/>
            <w:tcMar>
              <w:top w:w="75" w:type="dxa"/>
              <w:left w:w="75" w:type="dxa"/>
              <w:bottom w:w="75" w:type="dxa"/>
              <w:right w:w="75" w:type="dxa"/>
            </w:tcMar>
            <w:shd w:fill="F1F5F7"/>
          </w:tcPr>
          <w:p>
            <w:pPr>
              <w:spacing w:after="0" w:before="0" w:line="252" w:lineRule="auto"/>
            </w:pPr>
            <w:r>
              <w:rPr>
                <w:b w:val="0"/>
                <w:color w:val="000000"/>
                <w:sz w:val="18"/>
              </w:rPr>
              <w:t>11 Correction</w:t>
            </w:r>
          </w:p>
        </w:tc>
        <w:tc>
          <w:tcPr>
            <w:tcW w:type="dxa" w:w="6883"/>
            <w:vAlign w:val="center"/>
            <w:tcMar>
              <w:top w:w="75" w:type="dxa"/>
              <w:left w:w="75" w:type="dxa"/>
              <w:bottom w:w="75" w:type="dxa"/>
              <w:right w:w="75" w:type="dxa"/>
            </w:tcMar>
            <w:shd w:fill="F1F5F7"/>
          </w:tcPr>
          <w:p>
            <w:pPr>
              <w:spacing w:after="0" w:before="0" w:line="252" w:lineRule="auto"/>
            </w:pPr>
            <w:r>
              <w:rPr>
                <w:b w:val="0"/>
                <w:color w:val="000000"/>
                <w:sz w:val="18"/>
              </w:rPr>
              <w:t>Shift A good becomes 189 t and loss 35 t. Day good becomes 621 t and loss 51 t. Preserve old snapshots and use the controlled proposal and restatement workflow for the locked month.</w:t>
            </w:r>
          </w:p>
        </w:tc>
      </w:tr>
      <w:tr>
        <w:trPr>
          <w:cantSplit/>
        </w:trPr>
        <w:tc>
          <w:tcPr>
            <w:tcW w:type="dxa" w:w="2952"/>
            <w:vAlign w:val="center"/>
            <w:tcMar>
              <w:top w:w="75" w:type="dxa"/>
              <w:left w:w="75" w:type="dxa"/>
              <w:bottom w:w="75" w:type="dxa"/>
              <w:right w:w="75" w:type="dxa"/>
            </w:tcMar>
            <w:shd w:fill="FFFFFF"/>
          </w:tcPr>
          <w:p>
            <w:pPr>
              <w:spacing w:after="0" w:before="0" w:line="252" w:lineRule="auto"/>
            </w:pPr>
            <w:r>
              <w:rPr>
                <w:b w:val="0"/>
                <w:color w:val="000000"/>
                <w:sz w:val="18"/>
              </w:rPr>
              <w:t>12 Reliability</w:t>
            </w:r>
          </w:p>
        </w:tc>
        <w:tc>
          <w:tcPr>
            <w:tcW w:type="dxa" w:w="6883"/>
            <w:vAlign w:val="center"/>
            <w:tcMar>
              <w:top w:w="75" w:type="dxa"/>
              <w:left w:w="75" w:type="dxa"/>
              <w:bottom w:w="75" w:type="dxa"/>
              <w:right w:w="75" w:type="dxa"/>
            </w:tcMar>
            <w:shd w:fill="FFFFFF"/>
          </w:tcPr>
          <w:p>
            <w:pPr>
              <w:spacing w:after="0" w:before="0" w:line="252" w:lineRule="auto"/>
            </w:pPr>
            <w:r>
              <w:rPr>
                <w:b w:val="0"/>
                <w:color w:val="000000"/>
                <w:sz w:val="18"/>
              </w:rPr>
              <w:t>MTBF is 600 / 3 = 200 h. Mean downtime to restore is 6 / 3 = 2 h. MTTR is 3 / 3 = 1 h. Total outage includes time beyond active repair.</w:t>
            </w:r>
          </w:p>
        </w:tc>
      </w:tr>
    </w:tbl>
    <w:p>
      <w:pPr>
        <w:spacing w:after="20"/>
      </w:pPr>
    </w:p>
    <w:p>
      <w:pPr>
        <w:pStyle w:val="Heading2"/>
      </w:pPr>
      <w:r>
        <w:t>Answer 13</w:t>
      </w:r>
    </w:p>
    <w:p>
      <w:r>
        <w:rPr>
          <w:b w:val="0"/>
        </w:rPr>
        <w:t>Retain an unknown or incomplete measurement interval and investigate source health. Use only an authorized fallback or supported adjustment with evidence. Equipment state, production-function signals, operator logs or other trusted records may establish a real stop, but the absence of the output counter alone cannot do so. A false stop would fabricate an availability loss.</w:t>
      </w:r>
    </w:p>
    <w:p>
      <w:pPr>
        <w:pStyle w:val="Heading2"/>
      </w:pPr>
      <w:r>
        <w:t>Answer 14</w:t>
      </w:r>
    </w:p>
    <w:p>
      <w:r>
        <w:rPr>
          <w:b w:val="0"/>
        </w:rPr>
        <w:t>One week at reduced exposure does not match the historical opportunity. Review running hours, grade mix, detection coverage, event definitions, demand, inventory and other changes. Separate completed action from verified effectiveness, and claimed avoided loss from realized impact. “Insufficient evidence” is appropriate until the agreed verification conditions are met.</w:t>
      </w:r>
    </w:p>
    <w:p>
      <w:pPr>
        <w:pStyle w:val="Heading2"/>
      </w:pPr>
      <w:r>
        <w:t>Suggested instructor assessment</w:t>
      </w:r>
    </w:p>
    <w:p>
      <w:r>
        <w:rPr>
          <w:b w:val="0"/>
        </w:rPr>
        <w:t>Give 40% of the assessment to numerical reconciliation, 25% to measurement and configuration reasoning, 20% to workflow and evidence, and 15% to interpretation of decisions. These weights are an optional classroom aid.</w:t>
      </w:r>
    </w:p>
    <w:p>
      <w:r>
        <w:rPr>
          <w:b w:val="0"/>
        </w:rPr>
        <w:t>Require students to correct any double counting, invented measurement, hidden residual or unsupported savings claim before completing the course. Those errors undermine an account even when the final report looks plausible.</w:t>
      </w:r>
    </w:p>
    <w:p>
      <w:r>
        <w:br w:type="page"/>
      </w:r>
    </w:p>
    <w:p>
      <w:pPr>
        <w:pStyle w:val="Heading1"/>
      </w:pPr>
      <w:r>
        <w:t>32 Screen map and troubleshooting reference</w:t>
      </w:r>
    </w:p>
    <w:p>
      <w:r>
        <w:rPr>
          <w:b w:val="0"/>
        </w:rPr>
        <w:t>Use the page names below to connect a concept to its documented application location. Exact field and role details remain in the supplied Page and Field Manual. [A1]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tcMar>
              <w:top w:w="75" w:type="dxa"/>
              <w:left w:w="75" w:type="dxa"/>
              <w:bottom w:w="75" w:type="dxa"/>
              <w:right w:w="75" w:type="dxa"/>
            </w:tcMar>
            <w:shd w:fill="173B57"/>
          </w:tcPr>
          <w:p>
            <w:pPr>
              <w:spacing w:after="0" w:before="0" w:line="252" w:lineRule="auto"/>
              <w:jc w:val="center"/>
            </w:pPr>
            <w:r>
              <w:rPr>
                <w:b/>
                <w:color w:val="FFFFFF"/>
                <w:sz w:val="18"/>
              </w:rPr>
              <w:t>Concept</w:t>
            </w:r>
          </w:p>
        </w:tc>
        <w:tc>
          <w:tcPr>
            <w:tcW w:type="dxa" w:w="6883"/>
            <w:vAlign w:val="center"/>
            <w:tcMar>
              <w:top w:w="75" w:type="dxa"/>
              <w:left w:w="75" w:type="dxa"/>
              <w:bottom w:w="75" w:type="dxa"/>
              <w:right w:w="75" w:type="dxa"/>
            </w:tcMar>
            <w:shd w:fill="173B57"/>
          </w:tcPr>
          <w:p>
            <w:pPr>
              <w:spacing w:after="0" w:before="0" w:line="252" w:lineRule="auto"/>
              <w:jc w:val="center"/>
            </w:pPr>
            <w:r>
              <w:rPr>
                <w:b/>
                <w:color w:val="FFFFFF"/>
                <w:sz w:val="18"/>
              </w:rPr>
              <w:t>Page or documented route</w:t>
            </w:r>
          </w:p>
        </w:tc>
      </w:tr>
      <w:tr>
        <w:trPr>
          <w:cantSplit/>
        </w:trPr>
        <w:tc>
          <w:tcPr>
            <w:tcW w:type="dxa" w:w="2952"/>
            <w:vAlign w:val="center"/>
            <w:tcMar>
              <w:top w:w="75" w:type="dxa"/>
              <w:left w:w="75" w:type="dxa"/>
              <w:bottom w:w="75" w:type="dxa"/>
              <w:right w:w="75" w:type="dxa"/>
            </w:tcMar>
            <w:shd w:fill="F1F5F7"/>
          </w:tcPr>
          <w:p>
            <w:pPr>
              <w:spacing w:after="0" w:before="0" w:line="252" w:lineRule="auto"/>
              <w:jc w:val="left"/>
            </w:pPr>
            <w:r>
              <w:rPr>
                <w:b w:val="0"/>
                <w:color w:val="000000"/>
                <w:sz w:val="18"/>
              </w:rPr>
              <w:t>Plant and display context</w:t>
            </w:r>
          </w:p>
        </w:tc>
        <w:tc>
          <w:tcPr>
            <w:tcW w:type="dxa" w:w="6883"/>
            <w:vAlign w:val="center"/>
            <w:tcMar>
              <w:top w:w="75" w:type="dxa"/>
              <w:left w:w="75" w:type="dxa"/>
              <w:bottom w:w="75" w:type="dxa"/>
              <w:right w:w="75" w:type="dxa"/>
            </w:tcMar>
            <w:shd w:fill="F1F5F7"/>
          </w:tcPr>
          <w:p>
            <w:pPr>
              <w:spacing w:after="0" w:before="0" w:line="252" w:lineRule="auto"/>
              <w:jc w:val="left"/>
            </w:pPr>
            <w:r>
              <w:rPr>
                <w:b w:val="0"/>
                <w:color w:val="000000"/>
                <w:sz w:val="18"/>
              </w:rPr>
              <w:t>Admin plant creation; Settings</w:t>
            </w:r>
          </w:p>
        </w:tc>
      </w:tr>
      <w:tr>
        <w:trPr>
          <w:cantSplit/>
        </w:trPr>
        <w:tc>
          <w:tcPr>
            <w:tcW w:type="dxa" w:w="2952"/>
            <w:vAlign w:val="center"/>
            <w:tcMar>
              <w:top w:w="75" w:type="dxa"/>
              <w:left w:w="75" w:type="dxa"/>
              <w:bottom w:w="75" w:type="dxa"/>
              <w:right w:w="75" w:type="dxa"/>
            </w:tcMar>
            <w:shd w:fill="FFFFFF"/>
          </w:tcPr>
          <w:p>
            <w:pPr>
              <w:spacing w:after="0" w:before="0" w:line="252" w:lineRule="auto"/>
              <w:jc w:val="left"/>
            </w:pPr>
            <w:r>
              <w:rPr>
                <w:b w:val="0"/>
                <w:color w:val="000000"/>
                <w:sz w:val="18"/>
              </w:rPr>
              <w:t>Units assets products</w:t>
            </w:r>
          </w:p>
        </w:tc>
        <w:tc>
          <w:tcPr>
            <w:tcW w:type="dxa" w:w="6883"/>
            <w:vAlign w:val="center"/>
            <w:tcMar>
              <w:top w:w="75" w:type="dxa"/>
              <w:left w:w="75" w:type="dxa"/>
              <w:bottom w:w="75" w:type="dxa"/>
              <w:right w:w="75" w:type="dxa"/>
            </w:tcMar>
            <w:shd w:fill="FFFFFF"/>
          </w:tcPr>
          <w:p>
            <w:pPr>
              <w:spacing w:after="0" w:before="0" w:line="252" w:lineRule="auto"/>
              <w:jc w:val="left"/>
            </w:pPr>
            <w:r>
              <w:rPr>
                <w:b w:val="0"/>
                <w:color w:val="000000"/>
                <w:sz w:val="18"/>
              </w:rPr>
              <w:t>Master data; /master-data/hierarchy</w:t>
            </w:r>
          </w:p>
        </w:tc>
      </w:tr>
      <w:tr>
        <w:trPr>
          <w:cantSplit/>
        </w:trPr>
        <w:tc>
          <w:tcPr>
            <w:tcW w:type="dxa" w:w="2952"/>
            <w:vAlign w:val="center"/>
            <w:tcMar>
              <w:top w:w="75" w:type="dxa"/>
              <w:left w:w="75" w:type="dxa"/>
              <w:bottom w:w="75" w:type="dxa"/>
              <w:right w:w="75" w:type="dxa"/>
            </w:tcMar>
            <w:shd w:fill="F1F5F7"/>
          </w:tcPr>
          <w:p>
            <w:pPr>
              <w:spacing w:after="0" w:before="0" w:line="252" w:lineRule="auto"/>
              <w:jc w:val="left"/>
            </w:pPr>
            <w:r>
              <w:rPr>
                <w:b w:val="0"/>
                <w:color w:val="000000"/>
                <w:sz w:val="18"/>
              </w:rPr>
              <w:t>Reasons and failure terms</w:t>
            </w:r>
          </w:p>
        </w:tc>
        <w:tc>
          <w:tcPr>
            <w:tcW w:type="dxa" w:w="6883"/>
            <w:vAlign w:val="center"/>
            <w:tcMar>
              <w:top w:w="75" w:type="dxa"/>
              <w:left w:w="75" w:type="dxa"/>
              <w:bottom w:w="75" w:type="dxa"/>
              <w:right w:w="75" w:type="dxa"/>
            </w:tcMar>
            <w:shd w:fill="F1F5F7"/>
          </w:tcPr>
          <w:p>
            <w:pPr>
              <w:spacing w:after="0" w:before="0" w:line="252" w:lineRule="auto"/>
              <w:jc w:val="left"/>
            </w:pPr>
            <w:r>
              <w:rPr>
                <w:b w:val="0"/>
                <w:color w:val="000000"/>
                <w:sz w:val="18"/>
              </w:rPr>
              <w:t>/codes-admin; /master-data/failure-dictionary</w:t>
            </w:r>
          </w:p>
        </w:tc>
      </w:tr>
      <w:tr>
        <w:trPr>
          <w:cantSplit/>
        </w:trPr>
        <w:tc>
          <w:tcPr>
            <w:tcW w:type="dxa" w:w="2952"/>
            <w:vAlign w:val="center"/>
            <w:tcMar>
              <w:top w:w="75" w:type="dxa"/>
              <w:left w:w="75" w:type="dxa"/>
              <w:bottom w:w="75" w:type="dxa"/>
              <w:right w:w="75" w:type="dxa"/>
            </w:tcMar>
            <w:shd w:fill="FFFFFF"/>
          </w:tcPr>
          <w:p>
            <w:pPr>
              <w:spacing w:after="0" w:before="0" w:line="252" w:lineRule="auto"/>
              <w:jc w:val="left"/>
            </w:pPr>
            <w:r>
              <w:rPr>
                <w:b w:val="0"/>
                <w:color w:val="000000"/>
                <w:sz w:val="18"/>
              </w:rPr>
              <w:t>Scheduled time and crews</w:t>
            </w:r>
          </w:p>
        </w:tc>
        <w:tc>
          <w:tcPr>
            <w:tcW w:type="dxa" w:w="6883"/>
            <w:vAlign w:val="center"/>
            <w:tcMar>
              <w:top w:w="75" w:type="dxa"/>
              <w:left w:w="75" w:type="dxa"/>
              <w:bottom w:w="75" w:type="dxa"/>
              <w:right w:w="75" w:type="dxa"/>
            </w:tcMar>
            <w:shd w:fill="FFFFFF"/>
          </w:tcPr>
          <w:p>
            <w:pPr>
              <w:spacing w:after="0" w:before="0" w:line="252" w:lineRule="auto"/>
              <w:jc w:val="left"/>
            </w:pPr>
            <w:r>
              <w:rPr>
                <w:b w:val="0"/>
                <w:color w:val="000000"/>
                <w:sz w:val="18"/>
              </w:rPr>
              <w:t>/planning?tab=calendars</w:t>
            </w:r>
          </w:p>
        </w:tc>
      </w:tr>
      <w:tr>
        <w:trPr>
          <w:cantSplit/>
        </w:trPr>
        <w:tc>
          <w:tcPr>
            <w:tcW w:type="dxa" w:w="2952"/>
            <w:vAlign w:val="center"/>
            <w:tcMar>
              <w:top w:w="75" w:type="dxa"/>
              <w:left w:w="75" w:type="dxa"/>
              <w:bottom w:w="75" w:type="dxa"/>
              <w:right w:w="75" w:type="dxa"/>
            </w:tcMar>
            <w:shd w:fill="F1F5F7"/>
          </w:tcPr>
          <w:p>
            <w:pPr>
              <w:spacing w:after="0" w:before="0" w:line="252" w:lineRule="auto"/>
              <w:jc w:val="left"/>
            </w:pPr>
            <w:r>
              <w:rPr>
                <w:b w:val="0"/>
                <w:color w:val="000000"/>
                <w:sz w:val="18"/>
              </w:rPr>
              <w:t>Capability and planning rates</w:t>
            </w:r>
          </w:p>
        </w:tc>
        <w:tc>
          <w:tcPr>
            <w:tcW w:type="dxa" w:w="6883"/>
            <w:vAlign w:val="center"/>
            <w:tcMar>
              <w:top w:w="75" w:type="dxa"/>
              <w:left w:w="75" w:type="dxa"/>
              <w:bottom w:w="75" w:type="dxa"/>
              <w:right w:w="75" w:type="dxa"/>
            </w:tcMar>
            <w:shd w:fill="F1F5F7"/>
          </w:tcPr>
          <w:p>
            <w:pPr>
              <w:spacing w:after="0" w:before="0" w:line="252" w:lineRule="auto"/>
              <w:jc w:val="left"/>
            </w:pPr>
            <w:r>
              <w:rPr>
                <w:b w:val="0"/>
                <w:color w:val="000000"/>
                <w:sz w:val="18"/>
              </w:rPr>
              <w:t>/planning/profiles/new and profile detail</w:t>
            </w:r>
          </w:p>
        </w:tc>
      </w:tr>
      <w:tr>
        <w:trPr>
          <w:cantSplit/>
        </w:trPr>
        <w:tc>
          <w:tcPr>
            <w:tcW w:type="dxa" w:w="2952"/>
            <w:vAlign w:val="center"/>
            <w:tcMar>
              <w:top w:w="75" w:type="dxa"/>
              <w:left w:w="75" w:type="dxa"/>
              <w:bottom w:w="75" w:type="dxa"/>
              <w:right w:w="75" w:type="dxa"/>
            </w:tcMar>
            <w:shd w:fill="FFFFFF"/>
          </w:tcPr>
          <w:p>
            <w:pPr>
              <w:spacing w:after="0" w:before="0" w:line="252" w:lineRule="auto"/>
              <w:jc w:val="left"/>
            </w:pPr>
            <w:r>
              <w:rPr>
                <w:b w:val="0"/>
                <w:color w:val="000000"/>
                <w:sz w:val="18"/>
              </w:rPr>
              <w:t>Target and product periods</w:t>
            </w:r>
          </w:p>
        </w:tc>
        <w:tc>
          <w:tcPr>
            <w:tcW w:type="dxa" w:w="6883"/>
            <w:vAlign w:val="center"/>
            <w:tcMar>
              <w:top w:w="75" w:type="dxa"/>
              <w:left w:w="75" w:type="dxa"/>
              <w:bottom w:w="75" w:type="dxa"/>
              <w:right w:w="75" w:type="dxa"/>
            </w:tcMar>
            <w:shd w:fill="FFFFFF"/>
          </w:tcPr>
          <w:p>
            <w:pPr>
              <w:spacing w:after="0" w:before="0" w:line="252" w:lineRule="auto"/>
              <w:jc w:val="left"/>
            </w:pPr>
            <w:r>
              <w:rPr>
                <w:b w:val="0"/>
                <w:color w:val="000000"/>
                <w:sz w:val="18"/>
              </w:rPr>
              <w:t>/planning/plans/new and plan version detail</w:t>
            </w:r>
          </w:p>
        </w:tc>
      </w:tr>
      <w:tr>
        <w:trPr>
          <w:cantSplit/>
        </w:trPr>
        <w:tc>
          <w:tcPr>
            <w:tcW w:type="dxa" w:w="2952"/>
            <w:vAlign w:val="center"/>
            <w:tcMar>
              <w:top w:w="75" w:type="dxa"/>
              <w:left w:w="75" w:type="dxa"/>
              <w:bottom w:w="75" w:type="dxa"/>
              <w:right w:w="75" w:type="dxa"/>
            </w:tcMar>
            <w:shd w:fill="F1F5F7"/>
          </w:tcPr>
          <w:p>
            <w:pPr>
              <w:spacing w:after="0" w:before="0" w:line="252" w:lineRule="auto"/>
              <w:jc w:val="left"/>
            </w:pPr>
            <w:r>
              <w:rPr>
                <w:b w:val="0"/>
                <w:color w:val="000000"/>
                <w:sz w:val="18"/>
              </w:rPr>
              <w:t>Micro-stops and transitions</w:t>
            </w:r>
          </w:p>
        </w:tc>
        <w:tc>
          <w:tcPr>
            <w:tcW w:type="dxa" w:w="6883"/>
            <w:vAlign w:val="center"/>
            <w:tcMar>
              <w:top w:w="75" w:type="dxa"/>
              <w:left w:w="75" w:type="dxa"/>
              <w:bottom w:w="75" w:type="dxa"/>
              <w:right w:w="75" w:type="dxa"/>
            </w:tcMar>
            <w:shd w:fill="F1F5F7"/>
          </w:tcPr>
          <w:p>
            <w:pPr>
              <w:spacing w:after="0" w:before="0" w:line="252" w:lineRule="auto"/>
              <w:jc w:val="left"/>
            </w:pPr>
            <w:r>
              <w:rPr>
                <w:b w:val="0"/>
                <w:color w:val="000000"/>
                <w:sz w:val="18"/>
              </w:rPr>
              <w:t>/master-data/stop-policy; transition standards</w:t>
            </w:r>
          </w:p>
        </w:tc>
      </w:tr>
      <w:tr>
        <w:trPr>
          <w:cantSplit/>
        </w:trPr>
        <w:tc>
          <w:tcPr>
            <w:tcW w:type="dxa" w:w="2952"/>
            <w:vAlign w:val="center"/>
            <w:tcMar>
              <w:top w:w="75" w:type="dxa"/>
              <w:left w:w="75" w:type="dxa"/>
              <w:bottom w:w="75" w:type="dxa"/>
              <w:right w:w="75" w:type="dxa"/>
            </w:tcMar>
            <w:shd w:fill="FFFFFF"/>
          </w:tcPr>
          <w:p>
            <w:pPr>
              <w:spacing w:after="0" w:before="0" w:line="252" w:lineRule="auto"/>
              <w:jc w:val="left"/>
            </w:pPr>
            <w:r>
              <w:rPr>
                <w:b w:val="0"/>
                <w:color w:val="000000"/>
                <w:sz w:val="18"/>
              </w:rPr>
              <w:t>Source intake</w:t>
            </w:r>
          </w:p>
        </w:tc>
        <w:tc>
          <w:tcPr>
            <w:tcW w:type="dxa" w:w="6883"/>
            <w:vAlign w:val="center"/>
            <w:tcMar>
              <w:top w:w="75" w:type="dxa"/>
              <w:left w:w="75" w:type="dxa"/>
              <w:bottom w:w="75" w:type="dxa"/>
              <w:right w:w="75" w:type="dxa"/>
            </w:tcMar>
            <w:shd w:fill="FFFFFF"/>
          </w:tcPr>
          <w:p>
            <w:pPr>
              <w:spacing w:after="0" w:before="0" w:line="252" w:lineRule="auto"/>
              <w:jc w:val="left"/>
            </w:pPr>
            <w:r>
              <w:rPr>
                <w:b w:val="0"/>
                <w:color w:val="000000"/>
                <w:sz w:val="18"/>
              </w:rPr>
              <w:t>/connectivity/connections/new and signal definitions</w:t>
            </w:r>
          </w:p>
        </w:tc>
      </w:tr>
      <w:tr>
        <w:trPr>
          <w:cantSplit/>
        </w:trPr>
        <w:tc>
          <w:tcPr>
            <w:tcW w:type="dxa" w:w="2952"/>
            <w:vAlign w:val="center"/>
            <w:tcMar>
              <w:top w:w="75" w:type="dxa"/>
              <w:left w:w="75" w:type="dxa"/>
              <w:bottom w:w="75" w:type="dxa"/>
              <w:right w:w="75" w:type="dxa"/>
            </w:tcMar>
            <w:shd w:fill="F1F5F7"/>
          </w:tcPr>
          <w:p>
            <w:pPr>
              <w:spacing w:after="0" w:before="0" w:line="252" w:lineRule="auto"/>
              <w:jc w:val="left"/>
            </w:pPr>
            <w:r>
              <w:rPr>
                <w:b w:val="0"/>
                <w:color w:val="000000"/>
                <w:sz w:val="18"/>
              </w:rPr>
              <w:t>State and measurement authority</w:t>
            </w:r>
          </w:p>
        </w:tc>
        <w:tc>
          <w:tcPr>
            <w:tcW w:type="dxa" w:w="6883"/>
            <w:vAlign w:val="center"/>
            <w:tcMar>
              <w:top w:w="75" w:type="dxa"/>
              <w:left w:w="75" w:type="dxa"/>
              <w:bottom w:w="75" w:type="dxa"/>
              <w:right w:w="75" w:type="dxa"/>
            </w:tcMar>
            <w:shd w:fill="F1F5F7"/>
          </w:tcPr>
          <w:p>
            <w:pPr>
              <w:spacing w:after="0" w:before="0" w:line="252" w:lineRule="auto"/>
              <w:jc w:val="left"/>
            </w:pPr>
            <w:r>
              <w:rPr>
                <w:b w:val="0"/>
                <w:color w:val="000000"/>
                <w:sz w:val="18"/>
              </w:rPr>
              <w:t>/master-data/unit-state; /connectivity/source-authority</w:t>
            </w:r>
          </w:p>
        </w:tc>
      </w:tr>
      <w:tr>
        <w:trPr>
          <w:cantSplit/>
        </w:trPr>
        <w:tc>
          <w:tcPr>
            <w:tcW w:type="dxa" w:w="2952"/>
            <w:vAlign w:val="center"/>
            <w:tcMar>
              <w:top w:w="75" w:type="dxa"/>
              <w:left w:w="75" w:type="dxa"/>
              <w:bottom w:w="75" w:type="dxa"/>
              <w:right w:w="75" w:type="dxa"/>
            </w:tcMar>
            <w:shd w:fill="FFFFFF"/>
          </w:tcPr>
          <w:p>
            <w:pPr>
              <w:spacing w:after="0" w:before="0" w:line="252" w:lineRule="auto"/>
              <w:jc w:val="left"/>
            </w:pPr>
            <w:r>
              <w:rPr>
                <w:b w:val="0"/>
                <w:color w:val="000000"/>
                <w:sz w:val="18"/>
              </w:rPr>
              <w:t>Actuals and reconciliation</w:t>
            </w:r>
          </w:p>
        </w:tc>
        <w:tc>
          <w:tcPr>
            <w:tcW w:type="dxa" w:w="6883"/>
            <w:vAlign w:val="center"/>
            <w:tcMar>
              <w:top w:w="75" w:type="dxa"/>
              <w:left w:w="75" w:type="dxa"/>
              <w:bottom w:w="75" w:type="dxa"/>
              <w:right w:w="75" w:type="dxa"/>
            </w:tcMar>
            <w:shd w:fill="FFFFFF"/>
          </w:tcPr>
          <w:p>
            <w:pPr>
              <w:spacing w:after="0" w:before="0" w:line="252" w:lineRule="auto"/>
              <w:jc w:val="left"/>
            </w:pPr>
            <w:r>
              <w:rPr>
                <w:b w:val="0"/>
                <w:color w:val="000000"/>
                <w:sz w:val="18"/>
              </w:rPr>
              <w:t>/plans/:planId/periods/:periodId</w:t>
            </w:r>
          </w:p>
        </w:tc>
      </w:tr>
      <w:tr>
        <w:trPr>
          <w:cantSplit/>
        </w:trPr>
        <w:tc>
          <w:tcPr>
            <w:tcW w:type="dxa" w:w="2952"/>
            <w:vAlign w:val="center"/>
            <w:tcMar>
              <w:top w:w="75" w:type="dxa"/>
              <w:left w:w="75" w:type="dxa"/>
              <w:bottom w:w="75" w:type="dxa"/>
              <w:right w:w="75" w:type="dxa"/>
            </w:tcMar>
            <w:shd w:fill="F1F5F7"/>
          </w:tcPr>
          <w:p>
            <w:pPr>
              <w:spacing w:after="0" w:before="0" w:line="252" w:lineRule="auto"/>
              <w:jc w:val="left"/>
            </w:pPr>
            <w:r>
              <w:rPr>
                <w:b w:val="0"/>
                <w:color w:val="000000"/>
                <w:sz w:val="18"/>
              </w:rPr>
              <w:t>Quantity and value analysis</w:t>
            </w:r>
          </w:p>
        </w:tc>
        <w:tc>
          <w:tcPr>
            <w:tcW w:type="dxa" w:w="6883"/>
            <w:vAlign w:val="center"/>
            <w:tcMar>
              <w:top w:w="75" w:type="dxa"/>
              <w:left w:w="75" w:type="dxa"/>
              <w:bottom w:w="75" w:type="dxa"/>
              <w:right w:w="75" w:type="dxa"/>
            </w:tcMar>
            <w:shd w:fill="F1F5F7"/>
          </w:tcPr>
          <w:p>
            <w:pPr>
              <w:spacing w:after="0" w:before="0" w:line="252" w:lineRule="auto"/>
              <w:jc w:val="left"/>
            </w:pPr>
            <w:r>
              <w:rPr>
                <w:b w:val="0"/>
                <w:color w:val="000000"/>
                <w:sz w:val="18"/>
              </w:rPr>
              <w:t>/pla-analytics</w:t>
            </w:r>
          </w:p>
        </w:tc>
      </w:tr>
      <w:tr>
        <w:trPr>
          <w:cantSplit/>
        </w:trPr>
        <w:tc>
          <w:tcPr>
            <w:tcW w:type="dxa" w:w="2952"/>
            <w:vAlign w:val="center"/>
            <w:tcMar>
              <w:top w:w="75" w:type="dxa"/>
              <w:left w:w="75" w:type="dxa"/>
              <w:bottom w:w="75" w:type="dxa"/>
              <w:right w:w="75" w:type="dxa"/>
            </w:tcMar>
            <w:shd w:fill="FFFFFF"/>
          </w:tcPr>
          <w:p>
            <w:pPr>
              <w:spacing w:after="0" w:before="0" w:line="252" w:lineRule="auto"/>
              <w:jc w:val="left"/>
            </w:pPr>
            <w:r>
              <w:rPr>
                <w:b w:val="0"/>
                <w:color w:val="000000"/>
                <w:sz w:val="18"/>
              </w:rPr>
              <w:t>Time and reliability analysis</w:t>
            </w:r>
          </w:p>
        </w:tc>
        <w:tc>
          <w:tcPr>
            <w:tcW w:type="dxa" w:w="6883"/>
            <w:vAlign w:val="center"/>
            <w:tcMar>
              <w:top w:w="75" w:type="dxa"/>
              <w:left w:w="75" w:type="dxa"/>
              <w:bottom w:w="75" w:type="dxa"/>
              <w:right w:w="75" w:type="dxa"/>
            </w:tcMar>
            <w:shd w:fill="FFFFFF"/>
          </w:tcPr>
          <w:p>
            <w:pPr>
              <w:spacing w:after="0" w:before="0" w:line="252" w:lineRule="auto"/>
              <w:jc w:val="left"/>
            </w:pPr>
            <w:r>
              <w:rPr>
                <w:b w:val="0"/>
                <w:color w:val="000000"/>
                <w:sz w:val="18"/>
              </w:rPr>
              <w:t>/downtime</w:t>
            </w:r>
          </w:p>
        </w:tc>
      </w:tr>
      <w:tr>
        <w:trPr>
          <w:cantSplit/>
        </w:trPr>
        <w:tc>
          <w:tcPr>
            <w:tcW w:type="dxa" w:w="2952"/>
            <w:vAlign w:val="center"/>
            <w:tcMar>
              <w:top w:w="75" w:type="dxa"/>
              <w:left w:w="75" w:type="dxa"/>
              <w:bottom w:w="75" w:type="dxa"/>
              <w:right w:w="75" w:type="dxa"/>
            </w:tcMar>
            <w:shd w:fill="F1F5F7"/>
          </w:tcPr>
          <w:p>
            <w:pPr>
              <w:spacing w:after="0" w:before="0" w:line="252" w:lineRule="auto"/>
              <w:jc w:val="left"/>
            </w:pPr>
            <w:r>
              <w:rPr>
                <w:b w:val="0"/>
                <w:color w:val="000000"/>
                <w:sz w:val="18"/>
              </w:rPr>
              <w:t>Finance and close</w:t>
            </w:r>
          </w:p>
        </w:tc>
        <w:tc>
          <w:tcPr>
            <w:tcW w:type="dxa" w:w="6883"/>
            <w:vAlign w:val="center"/>
            <w:tcMar>
              <w:top w:w="75" w:type="dxa"/>
              <w:left w:w="75" w:type="dxa"/>
              <w:bottom w:w="75" w:type="dxa"/>
              <w:right w:w="75" w:type="dxa"/>
            </w:tcMar>
            <w:shd w:fill="F1F5F7"/>
          </w:tcPr>
          <w:p>
            <w:pPr>
              <w:spacing w:after="0" w:before="0" w:line="252" w:lineRule="auto"/>
              <w:jc w:val="left"/>
            </w:pPr>
            <w:r>
              <w:rPr>
                <w:b w:val="0"/>
                <w:color w:val="000000"/>
                <w:sz w:val="18"/>
              </w:rPr>
              <w:t>Finance; Month close</w:t>
            </w:r>
          </w:p>
        </w:tc>
      </w:tr>
      <w:tr>
        <w:trPr>
          <w:cantSplit/>
        </w:trPr>
        <w:tc>
          <w:tcPr>
            <w:tcW w:type="dxa" w:w="2952"/>
            <w:vAlign w:val="center"/>
            <w:tcMar>
              <w:top w:w="75" w:type="dxa"/>
              <w:left w:w="75" w:type="dxa"/>
              <w:bottom w:w="75" w:type="dxa"/>
              <w:right w:w="75" w:type="dxa"/>
            </w:tcMar>
            <w:shd w:fill="FFFFFF"/>
          </w:tcPr>
          <w:p>
            <w:pPr>
              <w:spacing w:after="0" w:before="0" w:line="252" w:lineRule="auto"/>
              <w:jc w:val="left"/>
            </w:pPr>
            <w:r>
              <w:rPr>
                <w:b w:val="0"/>
                <w:color w:val="000000"/>
                <w:sz w:val="18"/>
              </w:rPr>
              <w:t>Investigation and verification</w:t>
            </w:r>
          </w:p>
        </w:tc>
        <w:tc>
          <w:tcPr>
            <w:tcW w:type="dxa" w:w="6883"/>
            <w:vAlign w:val="center"/>
            <w:tcMar>
              <w:top w:w="75" w:type="dxa"/>
              <w:left w:w="75" w:type="dxa"/>
              <w:bottom w:w="75" w:type="dxa"/>
              <w:right w:w="75" w:type="dxa"/>
            </w:tcMar>
            <w:shd w:fill="FFFFFF"/>
          </w:tcPr>
          <w:p>
            <w:pPr>
              <w:spacing w:after="0" w:before="0" w:line="252" w:lineRule="auto"/>
              <w:jc w:val="left"/>
            </w:pPr>
            <w:r>
              <w:rPr>
                <w:b w:val="0"/>
                <w:color w:val="000000"/>
                <w:sz w:val="18"/>
              </w:rPr>
              <w:t>RCA cases, evidence, analysis, actions and outcome</w:t>
            </w:r>
          </w:p>
        </w:tc>
      </w:tr>
    </w:tbl>
    <w:p>
      <w:pPr>
        <w:spacing w:after="20"/>
      </w:pPr>
    </w:p>
    <w:p>
      <w:pPr>
        <w:pStyle w:val="Heading2"/>
      </w:pPr>
      <w:r>
        <w:t>Diagnose the meaning before changing a setting</w:t>
      </w:r>
    </w:p>
    <w:p>
      <w:r>
        <w:rPr>
          <w:b w:val="0"/>
        </w:rPr>
        <w:t>If a product is absent, check plant ownership and scope. If capacity is absent, check the approved profile and sustained-rate coverage. If no periods exist, check the published calendar, product slices and generation workflow.</w:t>
      </w:r>
    </w:p>
    <w:p>
      <w:r>
        <w:rPr>
          <w:b w:val="0"/>
        </w:rPr>
        <w:t>If samples exist but actual output is missing, check units, authority, coverage and the selected boundary. If quality unexpectedly reads 100%, check whether rejects are actually measured. If capacity balances but plan retains a residual, inspect whether performance has a supported explanation.</w:t>
      </w:r>
    </w:p>
    <w:p>
      <w:r>
        <w:rPr>
          <w:b w:val="0"/>
        </w:rPr>
        <w:t>If approval is blocked, read evidence, source, state, revision and independence gates. If MTTR is unavailable, obtain active repair evidence. If money is unavailable, check approved valuation inputs and demand or FX context. Widening tolerance is not a general repair.</w:t>
      </w:r>
    </w:p>
    <w:p>
      <w:pPr>
        <w:pStyle w:val="Heading2"/>
      </w:pPr>
      <w:r>
        <w:t>Terms to remember</w:t>
      </w:r>
    </w:p>
    <w:p>
      <w:r>
        <w:rPr>
          <w:b w:val="0"/>
        </w:rPr>
      </w:r>
      <w:r>
        <w:rPr>
          <w:b/>
        </w:rPr>
        <w:t>Provenance</w:t>
      </w:r>
      <w:r>
        <w:rPr>
          <w:b w:val="0"/>
        </w:rPr>
        <w:t xml:space="preserve"> is the record of where a result came from. </w:t>
      </w:r>
      <w:r>
        <w:rPr>
          <w:b/>
        </w:rPr>
        <w:t>Reconciliation</w:t>
      </w:r>
      <w:r>
        <w:rPr>
          <w:b w:val="0"/>
        </w:rPr>
        <w:t xml:space="preserve"> is explaining and checking the account. </w:t>
      </w:r>
      <w:r>
        <w:rPr>
          <w:b/>
        </w:rPr>
        <w:t>Certification</w:t>
      </w:r>
      <w:r>
        <w:rPr>
          <w:b w:val="0"/>
        </w:rPr>
        <w:t xml:space="preserve"> is the governed confirmation of a production day. </w:t>
      </w:r>
      <w:r>
        <w:rPr>
          <w:b/>
        </w:rPr>
        <w:t>Restatement</w:t>
      </w:r>
      <w:r>
        <w:rPr>
          <w:b w:val="0"/>
        </w:rPr>
        <w:t xml:space="preserve"> is a controlled correction that preserves the previous result. </w:t>
      </w:r>
      <w:r>
        <w:rPr>
          <w:b/>
        </w:rPr>
        <w:t>First pass</w:t>
      </w:r>
      <w:r>
        <w:rPr>
          <w:b w:val="0"/>
        </w:rPr>
        <w:t xml:space="preserve"> means before recovery or rework. </w:t>
      </w:r>
      <w:r>
        <w:rPr>
          <w:b/>
        </w:rPr>
        <w:t>Exposure</w:t>
      </w:r>
      <w:r>
        <w:rPr>
          <w:b w:val="0"/>
        </w:rPr>
        <w:t xml:space="preserve"> is the relevant operating time or demand opportunity. </w:t>
      </w:r>
      <w:r>
        <w:rPr>
          <w:b/>
        </w:rPr>
        <w:t>Origin</w:t>
      </w:r>
      <w:r>
        <w:rPr>
          <w:b w:val="0"/>
        </w:rPr>
        <w:t xml:space="preserve"> identifies the initiating source of a consequence. </w:t>
      </w:r>
      <w:r>
        <w:rPr>
          <w:b/>
        </w:rPr>
        <w:t>Effective date</w:t>
      </w:r>
      <w:r>
        <w:rPr>
          <w:b w:val="0"/>
        </w:rPr>
        <w:t xml:space="preserve"> determines which approved definition applies to history.</w:t>
      </w:r>
    </w:p>
    <w:p>
      <w:r>
        <w:br w:type="page"/>
      </w:r>
    </w:p>
    <w:p>
      <w:pPr>
        <w:pStyle w:val="Heading1"/>
      </w:pPr>
      <w:r>
        <w:t>33 Source register and application boundaries</w:t>
      </w:r>
    </w:p>
    <w:p>
      <w:r>
        <w:rPr>
          <w:b w:val="0"/>
        </w:rPr>
        <w:t>The bracketed references in this guide identify the evidence behind project and application statements. Numerical extensions are original teaching calculations. None is presented as an observed Marun loss, approved plant rate or realized financial benefit.</w:t>
      </w:r>
    </w:p>
    <w:p>
      <w:pPr>
        <w:pStyle w:val="Heading2"/>
      </w:pPr>
      <w:r>
        <w:t>Supplied application documents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9144"/>
      </w:tblGrid>
      <w:tr>
        <w:trPr>
          <w:cantSplit/>
          <w:tblHeader/>
        </w:trPr>
        <w:tc>
          <w:tcPr>
            <w:tcW w:type="dxa" w:w="691"/>
            <w:vAlign w:val="center"/>
            <w:tcMar>
              <w:top w:w="75" w:type="dxa"/>
              <w:left w:w="75" w:type="dxa"/>
              <w:bottom w:w="75" w:type="dxa"/>
              <w:right w:w="75" w:type="dxa"/>
            </w:tcMar>
            <w:shd w:fill="173B57"/>
          </w:tcPr>
          <w:p>
            <w:pPr>
              <w:spacing w:after="0" w:before="0" w:line="252" w:lineRule="auto"/>
              <w:jc w:val="center"/>
            </w:pPr>
            <w:r>
              <w:rPr>
                <w:b/>
                <w:color w:val="FFFFFF"/>
                <w:sz w:val="18"/>
              </w:rPr>
              <w:t>ID</w:t>
            </w:r>
          </w:p>
        </w:tc>
        <w:tc>
          <w:tcPr>
            <w:tcW w:type="dxa" w:w="9144"/>
            <w:vAlign w:val="center"/>
            <w:tcMar>
              <w:top w:w="75" w:type="dxa"/>
              <w:left w:w="75" w:type="dxa"/>
              <w:bottom w:w="75" w:type="dxa"/>
              <w:right w:w="75" w:type="dxa"/>
            </w:tcMar>
            <w:shd w:fill="173B57"/>
          </w:tcPr>
          <w:p>
            <w:pPr>
              <w:spacing w:after="0" w:before="0" w:line="252" w:lineRule="auto"/>
              <w:jc w:val="center"/>
            </w:pPr>
            <w:r>
              <w:rPr>
                <w:b/>
                <w:color w:val="FFFFFF"/>
                <w:sz w:val="18"/>
              </w:rPr>
              <w:t>File and relevant material</w:t>
            </w:r>
          </w:p>
        </w:tc>
      </w:tr>
      <w:tr>
        <w:trPr>
          <w:cantSplit/>
        </w:trPr>
        <w:tc>
          <w:tcPr>
            <w:tcW w:type="dxa" w:w="691"/>
            <w:vAlign w:val="center"/>
            <w:tcMar>
              <w:top w:w="75" w:type="dxa"/>
              <w:left w:w="75" w:type="dxa"/>
              <w:bottom w:w="75" w:type="dxa"/>
              <w:right w:w="75" w:type="dxa"/>
            </w:tcMar>
            <w:shd w:fill="F1F5F7"/>
          </w:tcPr>
          <w:p>
            <w:pPr>
              <w:spacing w:after="0" w:before="0" w:line="252" w:lineRule="auto"/>
            </w:pPr>
            <w:r>
              <w:rPr>
                <w:b w:val="0"/>
                <w:color w:val="000000"/>
                <w:sz w:val="18"/>
              </w:rPr>
              <w:t>A1</w:t>
            </w:r>
          </w:p>
        </w:tc>
        <w:tc>
          <w:tcPr>
            <w:tcW w:type="dxa" w:w="9144"/>
            <w:vAlign w:val="center"/>
            <w:tcMar>
              <w:top w:w="75" w:type="dxa"/>
              <w:left w:w="75" w:type="dxa"/>
              <w:bottom w:w="75" w:type="dxa"/>
              <w:right w:w="75" w:type="dxa"/>
            </w:tcMar>
            <w:shd w:fill="F1F5F7"/>
          </w:tcPr>
          <w:p>
            <w:pPr>
              <w:spacing w:after="0" w:before="0" w:line="252" w:lineRule="auto"/>
            </w:pPr>
            <w:r>
              <w:rPr>
                <w:b w:val="0"/>
                <w:color w:val="000000"/>
                <w:sz w:val="18"/>
              </w:rPr>
              <w:t>01_Page_and_Field_Manual.docx. Page procedures for PLA, downtime, master data, planning, periods, close and RCA.</w:t>
            </w:r>
          </w:p>
        </w:tc>
      </w:tr>
      <w:tr>
        <w:trPr>
          <w:cantSplit/>
        </w:trPr>
        <w:tc>
          <w:tcPr>
            <w:tcW w:type="dxa" w:w="691"/>
            <w:vAlign w:val="center"/>
            <w:tcMar>
              <w:top w:w="75" w:type="dxa"/>
              <w:left w:w="75" w:type="dxa"/>
              <w:bottom w:w="75" w:type="dxa"/>
              <w:right w:w="75" w:type="dxa"/>
            </w:tcMar>
            <w:shd w:fill="FFFFFF"/>
          </w:tcPr>
          <w:p>
            <w:pPr>
              <w:spacing w:after="0" w:before="0" w:line="252" w:lineRule="auto"/>
            </w:pPr>
            <w:r>
              <w:rPr>
                <w:b w:val="0"/>
                <w:color w:val="000000"/>
                <w:sz w:val="18"/>
              </w:rPr>
              <w:t>A2</w:t>
            </w:r>
          </w:p>
        </w:tc>
        <w:tc>
          <w:tcPr>
            <w:tcW w:type="dxa" w:w="9144"/>
            <w:vAlign w:val="center"/>
            <w:tcMar>
              <w:top w:w="75" w:type="dxa"/>
              <w:left w:w="75" w:type="dxa"/>
              <w:bottom w:w="75" w:type="dxa"/>
              <w:right w:w="75" w:type="dxa"/>
            </w:tcMar>
            <w:shd w:fill="FFFFFF"/>
          </w:tcPr>
          <w:p>
            <w:pPr>
              <w:spacing w:after="0" w:before="0" w:line="252" w:lineRule="auto"/>
            </w:pPr>
            <w:r>
              <w:rPr>
                <w:b w:val="0"/>
                <w:color w:val="000000"/>
                <w:sz w:val="18"/>
              </w:rPr>
              <w:t>02_Application_Logic_and_Data_Flows.docx. Time, measurement authority, two ledgers, valuation, workflow, reliability and RCA logic.</w:t>
            </w:r>
          </w:p>
        </w:tc>
      </w:tr>
      <w:tr>
        <w:trPr>
          <w:cantSplit/>
        </w:trPr>
        <w:tc>
          <w:tcPr>
            <w:tcW w:type="dxa" w:w="691"/>
            <w:vAlign w:val="center"/>
            <w:tcMar>
              <w:top w:w="75" w:type="dxa"/>
              <w:left w:w="75" w:type="dxa"/>
              <w:bottom w:w="75" w:type="dxa"/>
              <w:right w:w="75" w:type="dxa"/>
            </w:tcMar>
            <w:shd w:fill="F1F5F7"/>
          </w:tcPr>
          <w:p>
            <w:pPr>
              <w:spacing w:after="0" w:before="0" w:line="252" w:lineRule="auto"/>
            </w:pPr>
            <w:r>
              <w:rPr>
                <w:b w:val="0"/>
                <w:color w:val="000000"/>
                <w:sz w:val="18"/>
              </w:rPr>
              <w:t>A3</w:t>
            </w:r>
          </w:p>
        </w:tc>
        <w:tc>
          <w:tcPr>
            <w:tcW w:type="dxa" w:w="9144"/>
            <w:vAlign w:val="center"/>
            <w:tcMar>
              <w:top w:w="75" w:type="dxa"/>
              <w:left w:w="75" w:type="dxa"/>
              <w:bottom w:w="75" w:type="dxa"/>
              <w:right w:w="75" w:type="dxa"/>
            </w:tcMar>
            <w:shd w:fill="F1F5F7"/>
          </w:tcPr>
          <w:p>
            <w:pPr>
              <w:spacing w:after="0" w:before="0" w:line="252" w:lineRule="auto"/>
            </w:pPr>
            <w:r>
              <w:rPr>
                <w:b w:val="0"/>
                <w:color w:val="000000"/>
                <w:sz w:val="18"/>
              </w:rPr>
              <w:t>03_New_Plant_Setup_Guide.docx. Stages 1 to 14 and configuration field procedures.</w:t>
            </w:r>
          </w:p>
        </w:tc>
      </w:tr>
      <w:tr>
        <w:trPr>
          <w:cantSplit/>
        </w:trPr>
        <w:tc>
          <w:tcPr>
            <w:tcW w:type="dxa" w:w="691"/>
            <w:vAlign w:val="center"/>
            <w:tcMar>
              <w:top w:w="75" w:type="dxa"/>
              <w:left w:w="75" w:type="dxa"/>
              <w:bottom w:w="75" w:type="dxa"/>
              <w:right w:w="75" w:type="dxa"/>
            </w:tcMar>
            <w:shd w:fill="FFFFFF"/>
          </w:tcPr>
          <w:p>
            <w:pPr>
              <w:spacing w:after="0" w:before="0" w:line="252" w:lineRule="auto"/>
            </w:pPr>
            <w:r>
              <w:rPr>
                <w:b w:val="0"/>
                <w:color w:val="000000"/>
                <w:sz w:val="18"/>
              </w:rPr>
              <w:t>A4</w:t>
            </w:r>
          </w:p>
        </w:tc>
        <w:tc>
          <w:tcPr>
            <w:tcW w:type="dxa" w:w="9144"/>
            <w:vAlign w:val="center"/>
            <w:tcMar>
              <w:top w:w="75" w:type="dxa"/>
              <w:left w:w="75" w:type="dxa"/>
              <w:bottom w:w="75" w:type="dxa"/>
              <w:right w:w="75" w:type="dxa"/>
            </w:tcMar>
            <w:shd w:fill="FFFFFF"/>
          </w:tcPr>
          <w:p>
            <w:pPr>
              <w:spacing w:after="0" w:before="0" w:line="252" w:lineRule="auto"/>
            </w:pPr>
            <w:r>
              <w:rPr>
                <w:b w:val="0"/>
                <w:color w:val="000000"/>
                <w:sz w:val="18"/>
              </w:rPr>
              <w:t>04_Operations_and_Verification_Guide.docx. Daily operation, acceptance evidence and remaining site limitations.</w:t>
            </w:r>
          </w:p>
        </w:tc>
      </w:tr>
      <w:tr>
        <w:trPr>
          <w:cantSplit/>
        </w:trPr>
        <w:tc>
          <w:tcPr>
            <w:tcW w:type="dxa" w:w="691"/>
            <w:vAlign w:val="center"/>
            <w:tcMar>
              <w:top w:w="75" w:type="dxa"/>
              <w:left w:w="75" w:type="dxa"/>
              <w:bottom w:w="75" w:type="dxa"/>
              <w:right w:w="75" w:type="dxa"/>
            </w:tcMar>
            <w:shd w:fill="F1F5F7"/>
          </w:tcPr>
          <w:p>
            <w:pPr>
              <w:spacing w:after="0" w:before="0" w:line="252" w:lineRule="auto"/>
            </w:pPr>
            <w:r>
              <w:rPr>
                <w:b w:val="0"/>
                <w:color w:val="000000"/>
                <w:sz w:val="18"/>
              </w:rPr>
              <w:t>A5</w:t>
            </w:r>
          </w:p>
        </w:tc>
        <w:tc>
          <w:tcPr>
            <w:tcW w:type="dxa" w:w="9144"/>
            <w:vAlign w:val="center"/>
            <w:tcMar>
              <w:top w:w="75" w:type="dxa"/>
              <w:left w:w="75" w:type="dxa"/>
              <w:bottom w:w="75" w:type="dxa"/>
              <w:right w:w="75" w:type="dxa"/>
            </w:tcMar>
            <w:shd w:fill="F1F5F7"/>
          </w:tcPr>
          <w:p>
            <w:pPr>
              <w:spacing w:after="0" w:before="0" w:line="252" w:lineRule="auto"/>
            </w:pPr>
            <w:r>
              <w:rPr>
                <w:b w:val="0"/>
                <w:color w:val="000000"/>
                <w:sz w:val="18"/>
              </w:rPr>
              <w:t>05_Persona_Responsibilities_and_Approvals.docx. Ordinary-user roles, scopes and workflow independence.</w:t>
            </w:r>
          </w:p>
        </w:tc>
      </w:tr>
      <w:tr>
        <w:trPr>
          <w:cantSplit/>
        </w:trPr>
        <w:tc>
          <w:tcPr>
            <w:tcW w:type="dxa" w:w="691"/>
            <w:vAlign w:val="center"/>
            <w:tcMar>
              <w:top w:w="75" w:type="dxa"/>
              <w:left w:w="75" w:type="dxa"/>
              <w:bottom w:w="75" w:type="dxa"/>
              <w:right w:w="75" w:type="dxa"/>
            </w:tcMar>
            <w:shd w:fill="FFFFFF"/>
          </w:tcPr>
          <w:p>
            <w:pPr>
              <w:spacing w:after="0" w:before="0" w:line="252" w:lineRule="auto"/>
            </w:pPr>
            <w:r>
              <w:rPr>
                <w:b w:val="0"/>
                <w:color w:val="000000"/>
                <w:sz w:val="18"/>
              </w:rPr>
              <w:t>A6</w:t>
            </w:r>
          </w:p>
        </w:tc>
        <w:tc>
          <w:tcPr>
            <w:tcW w:type="dxa" w:w="9144"/>
            <w:vAlign w:val="center"/>
            <w:tcMar>
              <w:top w:w="75" w:type="dxa"/>
              <w:left w:w="75" w:type="dxa"/>
              <w:bottom w:w="75" w:type="dxa"/>
              <w:right w:w="75" w:type="dxa"/>
            </w:tcMar>
            <w:shd w:fill="FFFFFF"/>
          </w:tcPr>
          <w:p>
            <w:pPr>
              <w:spacing w:after="0" w:before="0" w:line="252" w:lineRule="auto"/>
            </w:pPr>
            <w:r>
              <w:rPr>
                <w:b w:val="0"/>
                <w:color w:val="000000"/>
                <w:sz w:val="18"/>
              </w:rPr>
              <w:t>E2E_SINGLE_EXTRUDER (2).pdf. Sections 1, 3 to 19 and 20 to 22; baseline on PDF pages 34 to 36; SuperAdmin exception on PDF pages 4 to 5.</w:t>
            </w:r>
          </w:p>
        </w:tc>
      </w:tr>
    </w:tbl>
    <w:p>
      <w:pPr>
        <w:spacing w:after="20"/>
      </w:pPr>
    </w:p>
    <w:p>
      <w:r>
        <w:rPr>
          <w:b w:val="0"/>
        </w:rPr>
        <w:t>These six files were supplied from /Users/apple/Downloads. A1 to A5 identify revision 2f385d2 and documentation dated 16 October 2026. A6 describes additional behavior that conflicts with those manuals on SuperAdmin independence. Refer to the evidence-boundary note near the front of this guide.</w:t>
      </w:r>
    </w:p>
    <w:p>
      <w:pPr>
        <w:pStyle w:val="Heading2"/>
      </w:pPr>
      <w:r>
        <w:t>Selected Marun project references</w:t>
      </w:r>
    </w:p>
    <w:p>
      <w:r>
        <w:rPr>
          <w:b w:val="0"/>
        </w:rPr>
        <w:t>P1 is MPC101225-FDS-General-Rev01.docx, in 4-OPS-Deliverables / 1. FDS / General. Relevant sections describe IDP purpose, source landscape, platform layers and AVEVA PI.</w:t>
      </w:r>
    </w:p>
    <w:p>
      <w:r>
        <w:rPr>
          <w:b w:val="0"/>
        </w:rPr>
        <w:t>P2 is OpEx_Target_Operating_Model.docx, in 3-OPS-ProjectManagement / ProjectProgressReports / V4. It is an organizational design brief; its accountabilities and KPI governance are not treated as proof of adopted staffing.</w:t>
      </w:r>
    </w:p>
    <w:p>
      <w:r>
        <w:rPr>
          <w:b w:val="0"/>
        </w:rPr>
        <w:t>P3 is Marun_HDPE_Training_English_Reviewed_R01.md, in 2-OPS-SpecsFromCustomer / output / pdf. The translated training material and review notes explain process and grade context, with open technical-review qualifications.</w:t>
      </w:r>
    </w:p>
    <w:p>
      <w:r>
        <w:rPr>
          <w:b w:val="0"/>
        </w:rPr>
        <w:t>P4 is Marun_HDPE_Five_Event_Families_R13.md, in 2-OPS-SpecsFromCustomer / Data from Tofel / outputs / process-event-specification-r13. It distinguishes proposed event definitions from deployment and identifies topology and mapping limitations.</w:t>
      </w:r>
    </w:p>
    <w:p>
      <w:r>
        <w:rPr>
          <w:b w:val="0"/>
        </w:rPr>
        <w:t>The common project root is the user-supplied MPC101225-Industrial Unified Data Platform folder under Marun Petrochemical-Iran. The PI operating model R03 and project-plan brief were also inspected for context; no live deployment status is inferred from them.</w:t>
      </w:r>
    </w:p>
    <w:p>
      <w:r>
        <w:br w:type="page"/>
      </w:r>
    </w:p>
    <w:p>
      <w:pPr>
        <w:pStyle w:val="Heading1"/>
      </w:pPr>
      <w:r>
        <w:t>International references and final learning check</w:t>
      </w:r>
    </w:p>
    <w:p>
      <w:r>
        <w:rPr>
          <w:b w:val="0"/>
        </w:rPr>
        <w:t>The following primary references were checked on 18 October 2026. Their scope supports the international-practice discussion; this guide does not claim formal standards compliance or reproduce the full standards.</w:t>
      </w:r>
    </w:p>
    <w:p>
      <w:r>
        <w:rPr>
          <w:b w:val="0"/>
        </w:rPr>
        <w:t>W1. International Society of Automation. ISA95 Enterprise Control System Integration committee scope and purpose.</w:t>
      </w:r>
    </w:p>
    <w:p>
      <w:hyperlink r:id="rId14">
        <w:r>
          <w:rPr>
            <w:color w:val="173B57"/>
            <w:sz w:val="18"/>
          </w:rPr>
          <w:t>https://www.isa.org/standards-and-publications/isa-standards/isa-standards-committees/isa95</w:t>
        </w:r>
      </w:hyperlink>
    </w:p>
    <w:p>
      <w:r>
        <w:rPr>
          <w:b w:val="0"/>
        </w:rPr>
        <w:t>W2. International Organization for Standardization. ISO 22400-2:2014, Key performance indicators for manufacturing operations management, Definitions and descriptions. The ISO catalogue showed the published edition and a replacement draft in progress when checked; verify the applicable edition before a compliance exercise.</w:t>
      </w:r>
    </w:p>
    <w:p>
      <w:hyperlink r:id="rId15">
        <w:r>
          <w:rPr>
            <w:color w:val="173B57"/>
            <w:sz w:val="18"/>
          </w:rPr>
          <w:t>https://www.iso.org/standard/54497.html</w:t>
        </w:r>
      </w:hyperlink>
    </w:p>
    <w:p>
      <w:r>
        <w:rPr>
          <w:b w:val="0"/>
        </w:rPr>
        <w:t>W3. International Organization for Standardization. ISO 14224:2016, Collection and exchange of reliability and maintenance data for equipment in petroleum, petrochemical and natural gas industries.</w:t>
      </w:r>
    </w:p>
    <w:p>
      <w:hyperlink r:id="rId16">
        <w:r>
          <w:rPr>
            <w:color w:val="173B57"/>
            <w:sz w:val="18"/>
          </w:rPr>
          <w:t>https://www.iso.org/standard/64076.html</w:t>
        </w:r>
      </w:hyperlink>
    </w:p>
    <w:p>
      <w:r>
        <w:rPr>
          <w:b w:val="0"/>
        </w:rPr>
        <w:t>W4. Vorne Industries. Calculating OEE, including availability, performance and first-pass quality.</w:t>
      </w:r>
    </w:p>
    <w:p>
      <w:hyperlink r:id="rId17">
        <w:r>
          <w:rPr>
            <w:color w:val="173B57"/>
            <w:sz w:val="18"/>
          </w:rPr>
          <w:t>https://www.oee.com/calculating-oee/</w:t>
        </w:r>
      </w:hyperlink>
    </w:p>
    <w:p>
      <w:pPr>
        <w:pStyle w:val="Heading2"/>
      </w:pPr>
      <w:r>
        <w:t>What is still needed for a real Marun rollout</w:t>
      </w:r>
    </w:p>
    <w:p>
      <w:r>
        <w:rPr>
          <w:b w:val="0"/>
        </w:rPr>
        <w:t>Obtain the approved current grade catalogue and specifications; real asset and production-boundary mapping; grade and mode rates; calendar and campaign plans; current tag bindings and source-quality evidence; quality and inventory rules; approved loss and transition policies; finance inputs; role assignments; and deployed-build confirmation.</w:t>
      </w:r>
    </w:p>
    <w:p>
      <w:r>
        <w:rPr>
          <w:b w:val="0"/>
        </w:rPr>
        <w:t>The official Marun product URLs located in web search could not be retrieved during this review. Consequently, this guide uses the qualified local process reference for grade examples and makes no claim to verify the current public product catalogue or plant nameplate capacity.</w:t>
      </w:r>
    </w:p>
    <w:p>
      <w:pPr>
        <w:pStyle w:val="Heading2"/>
      </w:pPr>
      <w:r>
        <w:t>Final learning check</w:t>
      </w:r>
    </w:p>
    <w:p>
      <w:r>
        <w:rPr>
          <w:b w:val="0"/>
        </w:rPr>
        <w:t>You have understood the course when you can explain all of the following without relying on a dashboard label: why the baseline’s gross output is 192 t but good output is 190 t; why one stopped hour becomes 28 t; why the remaining 4 t is a measured performance deficit with a cause still to investigate; why a lower target changes plan achievement but not physical OEE; and why an approved correction must preserve the earlier account.</w:t>
      </w:r>
    </w:p>
    <w:p>
      <w:r>
        <w:rPr>
          <w:b w:val="0"/>
        </w:rPr>
        <w:t>A trustworthy PLA result lets another person follow the chain from source evidence through configuration, calculation, explanation and approval to an operating decision. Use that traceability as the test of whether the application is helping the plant learn.</w:t>
      </w:r>
    </w:p>
    <w:sectPr w:rsidR="00FC693F" w:rsidRPr="0006063C" w:rsidSect="00034616">
      <w:headerReference w:type="default" r:id="rId9"/>
      <w:footerReference w:type="default" r:id="rId10"/>
      <w:pgSz w:w="11909" w:h="16834"/>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Training example   •   </w:t>
    </w:r>
    <w:r>
      <w:rPr>
        <w:sz w:val="16"/>
      </w:rPr>
    </w:r>
    <w:fldSimple w:instr="PAGE"/>
    <w:r>
      <w:rPr>
        <w:sz w:val="16"/>
      </w:rPr>
      <w:t xml:space="preserve"> / </w:t>
    </w:r>
    <w:r>
      <w:rPr>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MARUN   |   PLA AND DOWNTIME STUDENT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isa.org/standards-and-publications/isa-standards/isa-standards-committees/isa95" TargetMode="External"/><Relationship Id="rId15" Type="http://schemas.openxmlformats.org/officeDocument/2006/relationships/hyperlink" Target="https://www.iso.org/standard/54497.html" TargetMode="External"/><Relationship Id="rId16" Type="http://schemas.openxmlformats.org/officeDocument/2006/relationships/hyperlink" Target="https://www.iso.org/standard/64076.html" TargetMode="External"/><Relationship Id="rId17" Type="http://schemas.openxmlformats.org/officeDocument/2006/relationships/hyperlink" Target="https://www.oee.com/calculating-o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Marun Production Loss Accounting and Downtime Analysis Student Guide</dc:title>
  <dc:subject>Worked HDPE example from plant setup through approved losses and RCA</dc:subject>
  <dc:creator>Training material prepared for the Marun IDP project</dc:creator>
  <cp:keywords>PLA, downtime, HDPE, OEE, production accounting, RCA, training</cp:keywords>
  <dc:description>generated by python-docx</dc:description>
  <cp:lastModifiedBy/>
  <cp:revision>1</cp:revision>
  <dcterms:created xsi:type="dcterms:W3CDTF">2013-12-23T23:15:00Z</dcterms:created>
  <dcterms:modified xsi:type="dcterms:W3CDTF">2013-12-23T23:15:00Z</dcterms:modified>
  <cp:category/>
</cp:coreProperties>
</file>