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085FD8" w:rsidP="00085FD8">
      <w:pPr>
        <w:rPr>
          <w:sz w:val="28"/>
          <w:szCs w:val="28"/>
        </w:rPr>
      </w:pPr>
      <w:r w:rsidRPr="00B34DC9">
        <w:rPr>
          <w:color w:val="FF0000"/>
          <w:sz w:val="28"/>
          <w:szCs w:val="28"/>
        </w:rPr>
        <w:t>(</w:t>
      </w:r>
      <w:proofErr w:type="spellStart"/>
      <w:r w:rsidRPr="00B34DC9">
        <w:rPr>
          <w:color w:val="FF0000"/>
          <w:sz w:val="28"/>
          <w:szCs w:val="28"/>
        </w:rPr>
        <w:t>цэ</w:t>
      </w:r>
      <w:proofErr w:type="spellEnd"/>
      <w:r w:rsidRPr="00B34DC9">
        <w:rPr>
          <w:color w:val="FF0000"/>
          <w:sz w:val="28"/>
          <w:szCs w:val="28"/>
        </w:rPr>
        <w:t xml:space="preserve"> в литературу, ссылку)</w:t>
      </w:r>
      <w:hyperlink r:id="rId7" w:history="1">
        <w:r w:rsidR="00D851BE" w:rsidRPr="00311E61">
          <w:rPr>
            <w:rStyle w:val="a7"/>
            <w:sz w:val="28"/>
            <w:szCs w:val="28"/>
          </w:rPr>
          <w:t>https://www.unicodetools.com/unicode/codepages.php?codepage=windows-1251</w:t>
        </w:r>
      </w:hyperlink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lastRenderedPageBreak/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[</w:t>
      </w:r>
      <w:r w:rsidR="00F20D79" w:rsidRPr="00F20D79">
        <w:rPr>
          <w:sz w:val="28"/>
          <w:szCs w:val="28"/>
        </w:rPr>
        <w:t>‘,’</w:t>
      </w:r>
      <w:r w:rsidRPr="00DE7183">
        <w:rPr>
          <w:b/>
          <w:sz w:val="28"/>
          <w:szCs w:val="28"/>
        </w:rPr>
        <w:t>]</w:t>
      </w:r>
      <w:r w:rsidR="00F20D79" w:rsidRPr="00F20D79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: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%</w:t>
      </w:r>
      <w:r w:rsidR="00F20D79" w:rsidRPr="00DE7183">
        <w:rPr>
          <w:b/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="00C529A5" w:rsidRPr="00C529A5">
        <w:rPr>
          <w:sz w:val="28"/>
          <w:szCs w:val="28"/>
        </w:rPr>
        <w:t>,</w:t>
      </w:r>
      <w:r w:rsidR="00226436" w:rsidRPr="00226436">
        <w:rPr>
          <w:sz w:val="28"/>
          <w:szCs w:val="28"/>
        </w:rPr>
        <w:t>’</w:t>
      </w:r>
      <w:r w:rsidRPr="00DE7183">
        <w:rPr>
          <w:b/>
          <w:sz w:val="28"/>
          <w:szCs w:val="28"/>
        </w:rPr>
        <w:t>.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?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^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@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lastRenderedPageBreak/>
              <w:t>сравнения</w:t>
            </w:r>
          </w:p>
          <w:p w:rsidR="00671121" w:rsidRPr="00836E81" w:rsidRDefault="00671121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836E81">
              <w:rPr>
                <w:b/>
                <w:sz w:val="28"/>
              </w:rPr>
              <w:t xml:space="preserve">== 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 w:rsidRPr="00836E81">
              <w:rPr>
                <w:sz w:val="28"/>
              </w:rPr>
              <w:t xml:space="preserve">, </w:t>
            </w:r>
            <w:r>
              <w:rPr>
                <w:sz w:val="28"/>
              </w:rPr>
              <w:t>равенство</w:t>
            </w:r>
            <w:r w:rsidRPr="00836E81">
              <w:rPr>
                <w:sz w:val="28"/>
              </w:rPr>
              <w:t xml:space="preserve"> </w:t>
            </w:r>
            <w:r w:rsidRPr="00671121">
              <w:rPr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 w:rsidRPr="00671121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 w:rsidRPr="00671121">
              <w:rPr>
                <w:b/>
                <w:sz w:val="28"/>
              </w:rPr>
              <w:t>)</w:t>
            </w:r>
            <w:r w:rsidRPr="00836E81">
              <w:rPr>
                <w:sz w:val="28"/>
              </w:rPr>
              <w:br/>
              <w:t xml:space="preserve">&gt; - </w:t>
            </w:r>
            <w:r>
              <w:rPr>
                <w:sz w:val="28"/>
              </w:rPr>
              <w:t>бинарный</w:t>
            </w:r>
            <w:r w:rsidRPr="00836E81">
              <w:rPr>
                <w:sz w:val="28"/>
              </w:rPr>
              <w:t xml:space="preserve">, </w:t>
            </w:r>
            <w:r>
              <w:rPr>
                <w:sz w:val="28"/>
              </w:rPr>
              <w:t>больше</w:t>
            </w:r>
            <w:r w:rsidRPr="00671121">
              <w:rPr>
                <w:sz w:val="28"/>
              </w:rPr>
              <w:t xml:space="preserve"> 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 w:rsidRPr="00671121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Pr="00BE7C9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 xml:space="preserve">. </w:t>
            </w:r>
          </w:p>
          <w:p w:rsidR="00D851BE" w:rsidRPr="00D851BE" w:rsidRDefault="009A1AF5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  <w:r w:rsidR="00D851BE">
              <w:rPr>
                <w:sz w:val="28"/>
                <w:szCs w:val="28"/>
              </w:rPr>
              <w:t xml:space="preserve"> 1 байт</w:t>
            </w:r>
            <w:proofErr w:type="gramStart"/>
            <w:r w:rsidR="00D73AF1">
              <w:rPr>
                <w:sz w:val="28"/>
                <w:szCs w:val="28"/>
              </w:rPr>
              <w:t>.(</w:t>
            </w:r>
            <w:proofErr w:type="gramEnd"/>
            <w:r w:rsidR="00D73AF1">
              <w:rPr>
                <w:sz w:val="28"/>
                <w:szCs w:val="28"/>
              </w:rPr>
              <w:t>переписать)</w:t>
            </w:r>
            <w:r w:rsidR="00D851BE">
              <w:rPr>
                <w:sz w:val="28"/>
                <w:szCs w:val="28"/>
              </w:rPr>
              <w:t xml:space="preserve"> инициализирована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D851BE">
              <w:rPr>
                <w:b/>
                <w:sz w:val="28"/>
                <w:szCs w:val="28"/>
                <w:lang w:val="en-US"/>
              </w:rPr>
              <w:t>false</w:t>
            </w:r>
            <w:r w:rsidR="00D851BE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</w:rPr>
              <w:t xml:space="preserve">== 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равенство </w:t>
            </w:r>
            <w:r w:rsidRPr="00671121">
              <w:rPr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671121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  <w:r w:rsidR="002B53E2">
        <w:rPr>
          <w:sz w:val="28"/>
        </w:rPr>
        <w:t xml:space="preserve">(описать с помощью </w:t>
      </w:r>
      <w:proofErr w:type="spellStart"/>
      <w:r w:rsidR="002B53E2">
        <w:rPr>
          <w:sz w:val="28"/>
        </w:rPr>
        <w:t>регулярки</w:t>
      </w:r>
      <w:proofErr w:type="spellEnd"/>
      <w:r w:rsidR="002B53E2">
        <w:rPr>
          <w:sz w:val="28"/>
        </w:rPr>
        <w:t>)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интерпретируются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E7F2B">
        <w:rPr>
          <w:b/>
          <w:sz w:val="28"/>
          <w:szCs w:val="28"/>
          <w:lang w:val="en-US"/>
        </w:rPr>
        <w:t>true.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D851BE" w:rsidRPr="00D41095" w:rsidRDefault="00592737" w:rsidP="00592737">
            <w:pPr>
              <w:spacing w:line="312" w:lineRule="auto"/>
              <w:rPr>
                <w:sz w:val="28"/>
                <w:lang w:val="en-US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Цикл со счётчиком</w:t>
            </w:r>
          </w:p>
        </w:tc>
        <w:tc>
          <w:tcPr>
            <w:tcW w:w="5068" w:type="dxa"/>
          </w:tcPr>
          <w:p w:rsidR="00592737" w:rsidRPr="00B92D37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for</w:t>
            </w:r>
            <w:r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идентификатор</w:t>
            </w:r>
            <w:r w:rsidR="00B92D37" w:rsidRPr="00B92D37">
              <w:rPr>
                <w:sz w:val="28"/>
                <w:szCs w:val="28"/>
              </w:rPr>
              <w:t>&gt; =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="00B92D37" w:rsidRPr="00B92D37">
              <w:rPr>
                <w:sz w:val="28"/>
                <w:szCs w:val="28"/>
              </w:rPr>
              <w:t xml:space="preserve">&gt; </w:t>
            </w:r>
            <w:r w:rsidR="00B92D37">
              <w:rPr>
                <w:sz w:val="28"/>
                <w:szCs w:val="28"/>
                <w:lang w:val="en-US"/>
              </w:rPr>
              <w:t>to</w:t>
            </w:r>
            <w:r w:rsidR="00B92D37"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Pr="00B92D37">
              <w:rPr>
                <w:sz w:val="28"/>
                <w:szCs w:val="28"/>
              </w:rPr>
              <w:t xml:space="preserve">&gt; </w:t>
            </w:r>
          </w:p>
          <w:p w:rsidR="00D851BE" w:rsidRPr="009E24C3" w:rsidRDefault="00592737" w:rsidP="00592737">
            <w:pPr>
              <w:spacing w:line="312" w:lineRule="auto"/>
              <w:rPr>
                <w:sz w:val="28"/>
                <w:lang w:val="en-US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do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 xml:space="preserve"> {…}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  <w:bookmarkStart w:id="0" w:name="_GoBack"/>
      <w:bookmarkEnd w:id="0"/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==</w:t>
            </w:r>
            <w:r>
              <w:rPr>
                <w:sz w:val="28"/>
                <w:szCs w:val="28"/>
              </w:rPr>
              <w:t xml:space="preserve"> 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lastRenderedPageBreak/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E1602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Default="003E147B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pow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out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==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for</w:t>
      </w:r>
      <w:proofErr w:type="gramEnd"/>
      <w:r>
        <w:rPr>
          <w:i/>
          <w:sz w:val="28"/>
          <w:szCs w:val="28"/>
          <w:lang w:val="en-US"/>
        </w:rPr>
        <w:t xml:space="preserve"> i = 1 to 5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64C28" w:rsidRPr="00623877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>
        <w:rPr>
          <w:i/>
          <w:sz w:val="28"/>
          <w:szCs w:val="28"/>
          <w:lang w:val="en-US"/>
        </w:rPr>
        <w:t>display</w:t>
      </w:r>
      <w:r w:rsidRPr="00623877"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i</w:t>
      </w:r>
      <w:r w:rsidRPr="00623877">
        <w:rPr>
          <w:i/>
          <w:sz w:val="28"/>
          <w:szCs w:val="28"/>
          <w:lang w:val="en-US"/>
        </w:rPr>
        <w:t>);</w:t>
      </w:r>
    </w:p>
    <w:p w:rsidR="00E64C28" w:rsidRPr="00ED1429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ED1429">
        <w:rPr>
          <w:i/>
          <w:sz w:val="28"/>
          <w:szCs w:val="28"/>
          <w:lang w:val="en-US"/>
        </w:rPr>
        <w:t>}</w:t>
      </w:r>
    </w:p>
    <w:p w:rsidR="00D851BE" w:rsidRPr="00186ADC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186ADC">
        <w:rPr>
          <w:i/>
          <w:sz w:val="28"/>
          <w:szCs w:val="28"/>
        </w:rPr>
        <w:t xml:space="preserve"> 0;</w:t>
      </w:r>
    </w:p>
    <w:p w:rsidR="00D851BE" w:rsidRPr="00186ADC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186ADC">
        <w:rPr>
          <w:i/>
          <w:sz w:val="28"/>
          <w:szCs w:val="28"/>
        </w:rPr>
        <w:t>}</w:t>
      </w:r>
    </w:p>
    <w:p w:rsidR="00D851BE" w:rsidRPr="00186ADC" w:rsidRDefault="00D851BE" w:rsidP="00D851BE">
      <w:pPr>
        <w:rPr>
          <w:sz w:val="28"/>
          <w:szCs w:val="28"/>
        </w:rPr>
      </w:pPr>
    </w:p>
    <w:p w:rsidR="007135FA" w:rsidRPr="007135FA" w:rsidRDefault="007135FA">
      <w:pPr>
        <w:rPr>
          <w:sz w:val="28"/>
          <w:szCs w:val="28"/>
        </w:rPr>
      </w:pPr>
    </w:p>
    <w:sectPr w:rsidR="007135FA" w:rsidRPr="007135FA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668EC"/>
    <w:rsid w:val="00067750"/>
    <w:rsid w:val="00085298"/>
    <w:rsid w:val="00085FD8"/>
    <w:rsid w:val="00096AFA"/>
    <w:rsid w:val="000B6E74"/>
    <w:rsid w:val="000C58E3"/>
    <w:rsid w:val="000D139B"/>
    <w:rsid w:val="000E076B"/>
    <w:rsid w:val="000E5ACD"/>
    <w:rsid w:val="00122DC6"/>
    <w:rsid w:val="00127506"/>
    <w:rsid w:val="001275EE"/>
    <w:rsid w:val="001332BA"/>
    <w:rsid w:val="0013430E"/>
    <w:rsid w:val="00137DEC"/>
    <w:rsid w:val="00140EDD"/>
    <w:rsid w:val="001750AC"/>
    <w:rsid w:val="00176374"/>
    <w:rsid w:val="00186ADC"/>
    <w:rsid w:val="001A058E"/>
    <w:rsid w:val="001A3DC7"/>
    <w:rsid w:val="001B274A"/>
    <w:rsid w:val="001B5D7A"/>
    <w:rsid w:val="001C5F68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42C09"/>
    <w:rsid w:val="00244D04"/>
    <w:rsid w:val="002572BC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E5DDC"/>
    <w:rsid w:val="003005D9"/>
    <w:rsid w:val="00303E0D"/>
    <w:rsid w:val="0033644C"/>
    <w:rsid w:val="00346324"/>
    <w:rsid w:val="0036482D"/>
    <w:rsid w:val="00373F0D"/>
    <w:rsid w:val="003912C1"/>
    <w:rsid w:val="003916F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EC3"/>
    <w:rsid w:val="004578E0"/>
    <w:rsid w:val="0047598C"/>
    <w:rsid w:val="00487666"/>
    <w:rsid w:val="004928AE"/>
    <w:rsid w:val="00493DE9"/>
    <w:rsid w:val="004A4A19"/>
    <w:rsid w:val="004E160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77151"/>
    <w:rsid w:val="00592737"/>
    <w:rsid w:val="005A4B50"/>
    <w:rsid w:val="005B44B0"/>
    <w:rsid w:val="005C1E1A"/>
    <w:rsid w:val="005D1840"/>
    <w:rsid w:val="005F329D"/>
    <w:rsid w:val="00600B74"/>
    <w:rsid w:val="00605A73"/>
    <w:rsid w:val="00615E95"/>
    <w:rsid w:val="00623877"/>
    <w:rsid w:val="00642E42"/>
    <w:rsid w:val="00643ECC"/>
    <w:rsid w:val="00671121"/>
    <w:rsid w:val="0067567D"/>
    <w:rsid w:val="0069035C"/>
    <w:rsid w:val="006A2222"/>
    <w:rsid w:val="006B2EEE"/>
    <w:rsid w:val="006D4C1B"/>
    <w:rsid w:val="006D55CD"/>
    <w:rsid w:val="006E030C"/>
    <w:rsid w:val="006F56E1"/>
    <w:rsid w:val="007135FA"/>
    <w:rsid w:val="00714AF0"/>
    <w:rsid w:val="00755093"/>
    <w:rsid w:val="0075758E"/>
    <w:rsid w:val="00760168"/>
    <w:rsid w:val="007700E7"/>
    <w:rsid w:val="007702BD"/>
    <w:rsid w:val="007804EC"/>
    <w:rsid w:val="007933B1"/>
    <w:rsid w:val="007974C1"/>
    <w:rsid w:val="007A5198"/>
    <w:rsid w:val="007C407A"/>
    <w:rsid w:val="007C6C69"/>
    <w:rsid w:val="007D0573"/>
    <w:rsid w:val="008057E7"/>
    <w:rsid w:val="00823D20"/>
    <w:rsid w:val="00836E81"/>
    <w:rsid w:val="00841BC4"/>
    <w:rsid w:val="008466A4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5307E"/>
    <w:rsid w:val="00962111"/>
    <w:rsid w:val="00964B4A"/>
    <w:rsid w:val="009739B1"/>
    <w:rsid w:val="00983AE0"/>
    <w:rsid w:val="0099255B"/>
    <w:rsid w:val="009967E9"/>
    <w:rsid w:val="009A1AF5"/>
    <w:rsid w:val="009C4972"/>
    <w:rsid w:val="009E24C3"/>
    <w:rsid w:val="009E4357"/>
    <w:rsid w:val="00A02CE8"/>
    <w:rsid w:val="00A15A66"/>
    <w:rsid w:val="00A2547E"/>
    <w:rsid w:val="00A31CA4"/>
    <w:rsid w:val="00A37F26"/>
    <w:rsid w:val="00A45CF4"/>
    <w:rsid w:val="00A51594"/>
    <w:rsid w:val="00A62324"/>
    <w:rsid w:val="00A678B3"/>
    <w:rsid w:val="00A77E96"/>
    <w:rsid w:val="00A83A74"/>
    <w:rsid w:val="00A9455F"/>
    <w:rsid w:val="00AC6FE5"/>
    <w:rsid w:val="00AD332C"/>
    <w:rsid w:val="00AD75B9"/>
    <w:rsid w:val="00AE10F2"/>
    <w:rsid w:val="00AE4601"/>
    <w:rsid w:val="00AE5CCB"/>
    <w:rsid w:val="00B11022"/>
    <w:rsid w:val="00B11064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AFC"/>
    <w:rsid w:val="00B60171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7116D"/>
    <w:rsid w:val="00C85D1A"/>
    <w:rsid w:val="00C93D98"/>
    <w:rsid w:val="00CA1378"/>
    <w:rsid w:val="00CB42ED"/>
    <w:rsid w:val="00CC079C"/>
    <w:rsid w:val="00CC322C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D1BF2"/>
    <w:rsid w:val="00DE1819"/>
    <w:rsid w:val="00DE330E"/>
    <w:rsid w:val="00DE6577"/>
    <w:rsid w:val="00DE7183"/>
    <w:rsid w:val="00DE7F2B"/>
    <w:rsid w:val="00E035E7"/>
    <w:rsid w:val="00E15B36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A1B76"/>
    <w:rsid w:val="00ED1429"/>
    <w:rsid w:val="00ED36A1"/>
    <w:rsid w:val="00ED44AD"/>
    <w:rsid w:val="00F004AF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s://www.unicodetools.com/unicode/codepages.php?codepage=windows-12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8A60-A722-4CB9-A69F-9EB6F2CE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94</cp:revision>
  <cp:lastPrinted>2015-09-14T05:33:00Z</cp:lastPrinted>
  <dcterms:created xsi:type="dcterms:W3CDTF">2015-09-13T12:28:00Z</dcterms:created>
  <dcterms:modified xsi:type="dcterms:W3CDTF">2016-10-31T18:45:00Z</dcterms:modified>
</cp:coreProperties>
</file>