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Matthew Jolley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Chris Bischoff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Software Requirements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Must be written in C#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Client software dependencies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Browser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sz w:val="24"/>
          <w:highlight w:val="none"/>
          <w:rtl w:val="0"/>
        </w:rPr>
        <w:t xml:space="preserve">IE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sz w:val="24"/>
          <w:highlight w:val="none"/>
          <w:rtl w:val="0"/>
        </w:rPr>
        <w:t xml:space="preserve">Firefox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sz w:val="24"/>
          <w:highlight w:val="none"/>
          <w:rtl w:val="0"/>
        </w:rPr>
        <w:t xml:space="preserve">Chrome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Scripts must be enabled in browser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Cookies must be enabled in browser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Clients must have .NET 4 installed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Require a secured connection (SSL) *optional for the scope of this project*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Server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MS Server 2008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Required IIS Server 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Added role as an Application Server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Must have .NET 4 installed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Ports 80 and 443 need to be open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If there is time to implement SSL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sz w:val="24"/>
          <w:highlight w:val="none"/>
          <w:rtl w:val="0"/>
        </w:rPr>
        <w:t xml:space="preserve">Added role as certificate authority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sz w:val="24"/>
          <w:highlight w:val="none"/>
          <w:rtl w:val="0"/>
        </w:rPr>
        <w:t xml:space="preserve">Certificate for the web application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Database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SQL Server 2008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Single database per client(business), multiple tables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Database created for each client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sz w:val="24"/>
          <w:highlight w:val="none"/>
          <w:rtl w:val="0"/>
        </w:rPr>
        <w:t xml:space="preserve">Client administrator accounts can configure their own database tables and add/modify/remove other user accounts/information in the table that holds user accounts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Git for versioning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Requirements.docx</dc:title>
</cp:coreProperties>
</file>