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pPr>
      <w:r>
        <w:rPr>
          <w:woUserID w:val="1"/>
        </w:rPr>
        <w:t>JS UI框架是一种跨设备的高性能UI开发框架，支持声明式编程和跨设备多态UI</w:t>
      </w:r>
    </w:p>
    <w:p>
      <w:pPr>
        <w:numPr>
          <w:ilvl w:val="0"/>
          <w:numId w:val="1"/>
        </w:numPr>
        <w:ind w:left="420" w:leftChars="0" w:hanging="420" w:firstLineChars="0"/>
      </w:pPr>
      <w:r>
        <w:rPr>
          <w:woUserID w:val="1"/>
        </w:rPr>
        <w:t>JS UI框架提供了相对高层的UI描述，使应用开发更加简单</w:t>
      </w:r>
    </w:p>
    <w:p>
      <w:pPr>
        <w:numPr>
          <w:ilvl w:val="0"/>
          <w:numId w:val="2"/>
        </w:numPr>
        <w:pBdr>
          <w:top w:val="none" w:color="auto" w:sz="0" w:space="0"/>
        </w:pBdr>
        <w:tabs>
          <w:tab w:val="clear" w:pos="420"/>
        </w:tabs>
        <w:ind w:left="420" w:leftChars="0" w:hanging="420" w:firstLineChars="0"/>
        <w:rPr>
          <w:rFonts w:hint="default"/>
          <w:woUserID w:val="1"/>
        </w:rPr>
      </w:pPr>
      <w:r>
        <w:rPr>
          <w:rFonts w:hint="default"/>
          <w:woUserID w:val="1"/>
        </w:rPr>
        <w:t>JS UI框架支持纯JS、JS和Java混合语言开发</w:t>
      </w:r>
    </w:p>
    <w:p>
      <w:pPr>
        <w:numPr>
          <w:ilvl w:val="0"/>
          <w:numId w:val="2"/>
        </w:numPr>
        <w:pBdr>
          <w:top w:val="none" w:color="auto" w:sz="0" w:space="0"/>
        </w:pBdr>
        <w:tabs>
          <w:tab w:val="clear" w:pos="420"/>
        </w:tabs>
        <w:ind w:left="420" w:leftChars="0" w:hanging="420" w:firstLineChars="0"/>
      </w:pPr>
      <w:r>
        <w:rPr>
          <w:rFonts w:hint="default"/>
          <w:woUserID w:val="1"/>
        </w:rPr>
        <w:t>JS FA指基于JS或JS和Java混合开发的FA</w:t>
      </w:r>
    </w:p>
    <w:p>
      <w:pPr>
        <w:numPr>
          <w:ilvl w:val="0"/>
          <w:numId w:val="1"/>
        </w:numPr>
        <w:ind w:left="420" w:leftChars="0" w:hanging="420" w:firstLineChars="0"/>
      </w:pPr>
      <w:r>
        <w:rPr>
          <w:woUserID w:val="1"/>
        </w:rPr>
        <w:t>JS UI的基础能力主要体现在3个方面：</w:t>
      </w:r>
    </w:p>
    <w:p>
      <w:pPr>
        <w:numPr>
          <w:ilvl w:val="1"/>
          <w:numId w:val="1"/>
        </w:numPr>
        <w:ind w:left="840" w:leftChars="0" w:hanging="420" w:firstLineChars="0"/>
      </w:pPr>
      <w:r>
        <w:rPr>
          <w:woUserID w:val="1"/>
        </w:rPr>
        <w:t>声明式编程</w:t>
      </w:r>
    </w:p>
    <w:p>
      <w:pPr>
        <w:numPr>
          <w:ilvl w:val="2"/>
          <w:numId w:val="1"/>
        </w:numPr>
        <w:ind w:left="1260" w:leftChars="0" w:hanging="420" w:firstLineChars="0"/>
      </w:pPr>
      <w:r>
        <w:rPr>
          <w:woUserID w:val="1"/>
        </w:rPr>
        <w:t>JS UI 框架采用HML（类 HTML，但非HTML） 和 CSS 声明式编程语言作为页面布局和页面样式的开发语言，页面业务逻辑则支持 ECMAScript 规范的 JavaScript 语言</w:t>
      </w:r>
    </w:p>
    <w:p>
      <w:pPr>
        <w:numPr>
          <w:ilvl w:val="2"/>
          <w:numId w:val="1"/>
        </w:numPr>
        <w:ind w:left="1260" w:leftChars="0" w:hanging="420" w:firstLineChars="0"/>
      </w:pPr>
      <w:r>
        <w:rPr>
          <w:woUserID w:val="1"/>
        </w:rPr>
        <w:t>JS UI 框架提供的声明式编程，可以让开发者避免编写 UI 状态切换的代码，视图配置信息更加直观</w:t>
      </w:r>
    </w:p>
    <w:p>
      <w:pPr>
        <w:numPr>
          <w:ilvl w:val="1"/>
          <w:numId w:val="1"/>
        </w:numPr>
        <w:ind w:left="840" w:leftChars="0" w:hanging="420" w:firstLineChars="0"/>
      </w:pPr>
      <w:r>
        <w:rPr>
          <w:woUserID w:val="1"/>
        </w:rPr>
        <w:t>跨设备</w:t>
      </w:r>
    </w:p>
    <w:p>
      <w:pPr>
        <w:numPr>
          <w:ilvl w:val="2"/>
          <w:numId w:val="1"/>
        </w:numPr>
        <w:ind w:left="1260" w:leftChars="0" w:hanging="420" w:firstLineChars="0"/>
      </w:pPr>
      <w:r>
        <w:rPr>
          <w:woUserID w:val="1"/>
        </w:rPr>
        <w:t>开发框架架构上支持UI跨设备显示能力，运行时自动映射到不同设备类型，开发者无感知，从而降低开发者多设备适配成本</w:t>
      </w:r>
    </w:p>
    <w:p>
      <w:pPr>
        <w:numPr>
          <w:ilvl w:val="1"/>
          <w:numId w:val="1"/>
        </w:numPr>
        <w:ind w:left="840" w:leftChars="0" w:hanging="420" w:firstLineChars="0"/>
      </w:pPr>
      <w:r>
        <w:rPr>
          <w:woUserID w:val="1"/>
        </w:rPr>
        <w:t>高性能</w:t>
      </w:r>
    </w:p>
    <w:p>
      <w:pPr>
        <w:numPr>
          <w:ilvl w:val="2"/>
          <w:numId w:val="1"/>
        </w:numPr>
        <w:tabs>
          <w:tab w:val="left" w:pos="840"/>
          <w:tab w:val="clear" w:pos="1260"/>
        </w:tabs>
        <w:ind w:left="1260" w:leftChars="0" w:hanging="420" w:firstLineChars="0"/>
      </w:pPr>
      <w:r>
        <w:rPr>
          <w:woUserID w:val="1"/>
        </w:rPr>
        <w:t>开发框架包含了许多核心的控件，如列表、图片和各类容器组件等，针对声明式语法进行了渲染流程的优化</w:t>
      </w:r>
    </w:p>
    <w:p>
      <w:pPr>
        <w:numPr>
          <w:ilvl w:val="0"/>
          <w:numId w:val="1"/>
        </w:numPr>
        <w:ind w:left="420" w:leftChars="0" w:hanging="420" w:firstLineChars="0"/>
      </w:pPr>
      <w:r>
        <w:rPr>
          <w:woUserID w:val="1"/>
        </w:rPr>
        <w:t>JS UI的架构图如下，包括应用层、前端框架层、引擎层和平台适配层</w:t>
      </w:r>
    </w:p>
    <w:p>
      <w:pPr>
        <w:numPr>
          <w:ilvl w:val="1"/>
          <w:numId w:val="1"/>
        </w:numPr>
        <w:ind w:left="840" w:leftChars="0" w:hanging="420" w:firstLineChars="0"/>
      </w:pPr>
      <w:r>
        <w:rPr>
          <w:woUserID w:val="1"/>
        </w:rPr>
        <w:t>Application-应用层</w:t>
      </w:r>
    </w:p>
    <w:p>
      <w:pPr>
        <w:numPr>
          <w:ilvl w:val="2"/>
          <w:numId w:val="1"/>
        </w:numPr>
        <w:ind w:left="1260" w:leftChars="0" w:hanging="420" w:firstLineChars="0"/>
      </w:pPr>
      <w:r>
        <w:rPr>
          <w:woUserID w:val="1"/>
        </w:rPr>
        <w:t>应用层表示开发者使用JS UI框架开发的FA应用，这里的FA应用特指JS FA应用</w:t>
      </w:r>
    </w:p>
    <w:p>
      <w:pPr>
        <w:numPr>
          <w:ilvl w:val="2"/>
          <w:numId w:val="1"/>
        </w:numPr>
        <w:ind w:left="1260" w:leftChars="0" w:hanging="420" w:firstLineChars="0"/>
      </w:pPr>
      <w:r>
        <w:rPr>
          <w:woUserID w:val="1"/>
        </w:rPr>
        <w:t>JS UI 框架支持纯 JavaScript、JavaScript 和 Java 混合语言开发。JS FA 指基于 JavaScript或 JavaScript 和 Java 混合开发的 FA</w:t>
      </w:r>
    </w:p>
    <w:p>
      <w:pPr>
        <w:numPr>
          <w:ilvl w:val="1"/>
          <w:numId w:val="1"/>
        </w:numPr>
        <w:ind w:left="840" w:leftChars="0" w:hanging="420" w:firstLineChars="0"/>
      </w:pPr>
      <w:r>
        <w:rPr>
          <w:woUserID w:val="1"/>
        </w:rPr>
        <w:t>Framework-前端框架层</w:t>
      </w:r>
    </w:p>
    <w:p>
      <w:pPr>
        <w:numPr>
          <w:ilvl w:val="2"/>
          <w:numId w:val="1"/>
        </w:numPr>
        <w:ind w:left="1260" w:leftChars="0" w:hanging="420" w:firstLineChars="0"/>
      </w:pPr>
      <w:r>
        <w:rPr>
          <w:woUserID w:val="1"/>
        </w:rPr>
        <w:t>前端框架层主要完成前端页面解析，以及提供MVVM（Mode-lView-ViewModel）开发模式、页面路由机制和自定义组件等能力</w:t>
      </w:r>
    </w:p>
    <w:p>
      <w:pPr>
        <w:numPr>
          <w:ilvl w:val="1"/>
          <w:numId w:val="1"/>
        </w:numPr>
        <w:ind w:left="840" w:leftChars="0" w:hanging="420" w:firstLineChars="0"/>
      </w:pPr>
      <w:r>
        <w:rPr>
          <w:woUserID w:val="1"/>
        </w:rPr>
        <w:t>Engine-引擎层</w:t>
      </w:r>
    </w:p>
    <w:p>
      <w:pPr>
        <w:numPr>
          <w:ilvl w:val="2"/>
          <w:numId w:val="1"/>
        </w:numPr>
        <w:ind w:left="1260" w:leftChars="0" w:hanging="420" w:firstLineChars="0"/>
      </w:pPr>
      <w:r>
        <w:rPr>
          <w:woUserID w:val="1"/>
        </w:rPr>
        <w:t>引擎层主要提供动画解析、DOM树构建、布局计算、渲染命令构建与绘制、事件管理等能力</w:t>
      </w:r>
    </w:p>
    <w:p>
      <w:pPr>
        <w:numPr>
          <w:ilvl w:val="1"/>
          <w:numId w:val="1"/>
        </w:numPr>
        <w:ind w:left="840" w:leftChars="0" w:hanging="420" w:firstLineChars="0"/>
      </w:pPr>
      <w:r>
        <w:rPr>
          <w:woUserID w:val="1"/>
        </w:rPr>
        <w:t>Porting Layer-平台适配层</w:t>
      </w:r>
    </w:p>
    <w:p>
      <w:pPr>
        <w:numPr>
          <w:ilvl w:val="2"/>
          <w:numId w:val="1"/>
        </w:numPr>
        <w:ind w:left="1260" w:leftChars="0" w:hanging="420" w:firstLineChars="0"/>
      </w:pPr>
      <w:r>
        <w:rPr>
          <w:woUserID w:val="1"/>
        </w:rPr>
        <w:t>适配层主要完成对平台层进行抽象，提供抽象接口，可以对接到系统平台。例如：事件对接、渲染管线对接和系统生命周期对接等</w:t>
      </w:r>
    </w:p>
    <w:p>
      <w:pPr>
        <w:numPr>
          <w:ilvl w:val="0"/>
          <w:numId w:val="0"/>
        </w:numPr>
        <w:pBdr>
          <w:bottom w:val="none" w:color="000200" w:sz="0" w:space="0"/>
        </w:pBdr>
        <w:ind w:leftChars="0"/>
        <w:rPr>
          <w:rFonts w:hint="default"/>
          <w:woUserID w:val="1"/>
        </w:rPr>
      </w:pPr>
      <w:r>
        <w:rPr>
          <w:rFonts w:hint="default"/>
          <w:woUserID w:val="1"/>
        </w:rPr>
        <w:drawing>
          <wp:anchor distT="0" distB="0" distL="114300" distR="114300" simplePos="0" relativeHeight="251658240" behindDoc="0" locked="0" layoutInCell="1" allowOverlap="1">
            <wp:simplePos x="0" y="0"/>
            <wp:positionH relativeFrom="column">
              <wp:posOffset>0</wp:posOffset>
            </wp:positionH>
            <wp:positionV relativeFrom="paragraph">
              <wp:posOffset>118110</wp:posOffset>
            </wp:positionV>
            <wp:extent cx="5219700" cy="30289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19700" cy="3028950"/>
                    </a:xfrm>
                    <a:prstGeom prst="rect">
                      <a:avLst/>
                    </a:prstGeom>
                  </pic:spPr>
                </pic:pic>
              </a:graphicData>
            </a:graphic>
          </wp:anchor>
        </w:drawing>
      </w:r>
    </w:p>
    <w:p>
      <w:pPr>
        <w:numPr>
          <w:ilvl w:val="0"/>
          <w:numId w:val="3"/>
        </w:numPr>
        <w:pBdr>
          <w:bottom w:val="none" w:color="000200" w:sz="0" w:space="0"/>
        </w:pBdr>
        <w:ind w:left="420" w:leftChars="0" w:hanging="420" w:firstLineChars="0"/>
        <w:rPr>
          <w:rFonts w:hint="default"/>
          <w:woUserID w:val="1"/>
        </w:rPr>
      </w:pPr>
      <w:r>
        <w:rPr>
          <w:rFonts w:hint="default"/>
          <w:woUserID w:val="1"/>
        </w:rPr>
        <w:t>AceAbility：AceAbility 类是 JS FA 在 HarmonyOS 上运行环境的基类，继承自 Ability。开发者的应用运行入口类应该从该类派生</w:t>
      </w:r>
    </w:p>
    <w:p>
      <w:pPr>
        <w:numPr>
          <w:ilvl w:val="0"/>
          <w:numId w:val="3"/>
        </w:numPr>
        <w:pBdr>
          <w:bottom w:val="none" w:color="000200" w:sz="0" w:space="0"/>
        </w:pBdr>
        <w:ind w:left="420" w:leftChars="0" w:hanging="420" w:firstLineChars="0"/>
        <w:rPr>
          <w:rFonts w:hint="default"/>
          <w:woUserID w:val="1"/>
        </w:rPr>
      </w:pPr>
      <w:r>
        <w:rPr>
          <w:rFonts w:hint="default"/>
          <w:woUserID w:val="1"/>
        </w:rPr>
        <w:t>JS FA 生命周期事件分为应用生命周期和页面生命周期</w:t>
      </w:r>
    </w:p>
    <w:p>
      <w:pPr>
        <w:numPr>
          <w:ilvl w:val="1"/>
          <w:numId w:val="3"/>
        </w:numPr>
        <w:pBdr>
          <w:bottom w:val="none" w:color="000200" w:sz="0" w:space="0"/>
        </w:pBdr>
        <w:ind w:left="840" w:leftChars="0" w:hanging="420" w:firstLineChars="0"/>
        <w:rPr>
          <w:rFonts w:hint="default"/>
          <w:woUserID w:val="1"/>
        </w:rPr>
      </w:pPr>
      <w:r>
        <w:rPr>
          <w:rFonts w:hint="default"/>
          <w:woUserID w:val="1"/>
        </w:rPr>
        <w:t>应用生命周期：应用通过 AceAbility 类中setInstanceName()接口设置该 Ability 的实例资源，并通过 AceAbility 窗口进行显示以及全局应用生命周期管理</w:t>
      </w:r>
    </w:p>
    <w:p>
      <w:pPr>
        <w:numPr>
          <w:ilvl w:val="0"/>
          <w:numId w:val="3"/>
        </w:numPr>
        <w:pBdr>
          <w:bottom w:val="none" w:color="000200" w:sz="0" w:space="0"/>
        </w:pBdr>
        <w:ind w:left="420" w:leftChars="0" w:hanging="420" w:firstLineChars="0"/>
        <w:rPr>
          <w:rFonts w:hint="default"/>
          <w:woUserID w:val="1"/>
        </w:rPr>
      </w:pPr>
      <w:r>
        <w:rPr>
          <w:rFonts w:hint="default"/>
          <w:woUserID w:val="1"/>
        </w:rPr>
        <w:t>setInstanceName(String name)的参数 name 指实例名称，实例名与 config.json 文件中 module.js.name 的值对应。若开发者未修改实例名，而使用了缺省值 default，则无需调用此接口。若开发者修改了实例名，则需在应用 Ability 实例的 onStart()中调用此接口，并将参数 name 设置为修改后的实例名称（多实例应用的 module.js 字段中有多个实例项，使用时请选择相应的实例名称）</w:t>
      </w:r>
    </w:p>
    <w:p>
      <w:pPr>
        <w:numPr>
          <w:ilvl w:val="0"/>
          <w:numId w:val="3"/>
        </w:numPr>
        <w:pBdr>
          <w:bottom w:val="none" w:color="040000" w:sz="0" w:space="0"/>
        </w:pBdr>
        <w:ind w:left="420" w:leftChars="0" w:hanging="420" w:firstLineChars="0"/>
        <w:rPr>
          <w:rFonts w:hint="default"/>
          <w:woUserID w:val="1"/>
        </w:rPr>
      </w:pPr>
      <w:r>
        <w:rPr>
          <w:rFonts w:hint="default"/>
          <w:woUserID w:val="1"/>
        </w:rPr>
        <w:t>setInstanceName()接口使用方法：在 MainAbility 的 onStart()中的 super.onStart()前调用此接口。以 JSComponentName 作为实例名称</w:t>
      </w:r>
    </w:p>
    <w:p>
      <w:pPr>
        <w:numPr>
          <w:ilvl w:val="0"/>
          <w:numId w:val="0"/>
        </w:numPr>
        <w:pBdr>
          <w:bottom w:val="double" w:color="040000" w:sz="8" w:space="0"/>
        </w:pBdr>
        <w:ind w:leftChars="0"/>
        <w:rPr>
          <w:rFonts w:hint="default"/>
          <w:woUserID w:val="1"/>
        </w:rPr>
      </w:pPr>
    </w:p>
    <w:p>
      <w:pPr>
        <w:pStyle w:val="2"/>
        <w:numPr>
          <w:ilvl w:val="0"/>
          <w:numId w:val="0"/>
        </w:numPr>
        <w:pBdr>
          <w:top w:val="none" w:color="auto" w:sz="0" w:space="0"/>
          <w:bottom w:val="none" w:color="000200" w:sz="0" w:space="0"/>
        </w:pBdr>
        <w:bidi w:val="0"/>
        <w:ind w:leftChars="0"/>
        <w:rPr>
          <w:rFonts w:hint="default"/>
          <w:woUserID w:val="1"/>
        </w:rPr>
      </w:pPr>
      <w:r>
        <w:rPr>
          <w:rFonts w:hint="default"/>
          <w:woUserID w:val="1"/>
        </w:rPr>
        <w:t>JS FA调用PA</w:t>
      </w:r>
    </w:p>
    <w:p>
      <w:pPr>
        <w:numPr>
          <w:ilvl w:val="0"/>
          <w:numId w:val="4"/>
        </w:numPr>
        <w:ind w:left="420" w:leftChars="0" w:hanging="420" w:firstLineChars="0"/>
        <w:rPr>
          <w:rFonts w:hint="default"/>
        </w:rPr>
      </w:pPr>
      <w:r>
        <w:rPr>
          <w:rFonts w:hint="default"/>
          <w:woUserID w:val="1"/>
        </w:rPr>
        <w:t>JS UI框架提供了JS FA调用Java PA的机制。该机制提供了一种通道来传递方法调用、处理数据返回以及订阅事件上报。FA提供了以下三个JS接口：</w:t>
      </w:r>
    </w:p>
    <w:p>
      <w:pPr>
        <w:numPr>
          <w:ilvl w:val="1"/>
          <w:numId w:val="4"/>
        </w:numPr>
        <w:ind w:left="840" w:leftChars="0" w:hanging="420" w:firstLineChars="0"/>
        <w:rPr>
          <w:rFonts w:hint="default"/>
        </w:rPr>
      </w:pPr>
      <w:r>
        <w:rPr>
          <w:rFonts w:hint="default"/>
          <w:woUserID w:val="1"/>
        </w:rPr>
        <w:t>FeatureAbility.callAbility(OBJECT)：调用PA能力</w:t>
      </w:r>
    </w:p>
    <w:p>
      <w:pPr>
        <w:numPr>
          <w:ilvl w:val="1"/>
          <w:numId w:val="4"/>
        </w:numPr>
        <w:ind w:left="840" w:leftChars="0" w:hanging="420" w:firstLineChars="0"/>
        <w:rPr>
          <w:rFonts w:hint="default"/>
        </w:rPr>
      </w:pPr>
      <w:r>
        <w:rPr>
          <w:rFonts w:hint="default"/>
          <w:woUserID w:val="1"/>
        </w:rPr>
        <w:t>FeatureAbility.subscribeAbilityEvent(OBJECT,Function)：订阅PA能力</w:t>
      </w:r>
    </w:p>
    <w:p>
      <w:pPr>
        <w:numPr>
          <w:ilvl w:val="1"/>
          <w:numId w:val="4"/>
        </w:numPr>
        <w:ind w:left="840" w:leftChars="0" w:hanging="420" w:firstLineChars="0"/>
        <w:rPr>
          <w:rFonts w:hint="default"/>
        </w:rPr>
      </w:pPr>
      <w:r>
        <w:rPr>
          <w:rFonts w:hint="default"/>
          <w:woUserID w:val="1"/>
        </w:rPr>
        <w:t>FeatureAbility.unsubscribeAbilityEvent(OBJECT)：取消订阅PA能力</w:t>
      </w:r>
    </w:p>
    <w:p>
      <w:pPr>
        <w:numPr>
          <w:ilvl w:val="0"/>
          <w:numId w:val="4"/>
        </w:numPr>
        <w:ind w:left="420" w:leftChars="0" w:hanging="420" w:firstLineChars="0"/>
        <w:rPr>
          <w:rFonts w:hint="default"/>
        </w:rPr>
      </w:pPr>
      <w:r>
        <w:rPr>
          <w:rFonts w:hint="default"/>
          <w:woUserID w:val="1"/>
        </w:rPr>
        <w:t>在PA端提供的接口为（当前提供的两种调用PA的方式）：</w:t>
      </w:r>
    </w:p>
    <w:p>
      <w:pPr>
        <w:numPr>
          <w:ilvl w:val="1"/>
          <w:numId w:val="4"/>
        </w:numPr>
        <w:ind w:left="840" w:leftChars="0" w:hanging="420" w:firstLineChars="0"/>
        <w:rPr>
          <w:rFonts w:hint="default"/>
        </w:rPr>
      </w:pPr>
      <w:r>
        <w:rPr>
          <w:rFonts w:hint="default"/>
          <w:woUserID w:val="1"/>
        </w:rPr>
        <w:t>Ability 调用方式，FA 使用远端进程通信拉起并请求 PA 服务：</w:t>
      </w:r>
    </w:p>
    <w:p>
      <w:pPr>
        <w:numPr>
          <w:ilvl w:val="2"/>
          <w:numId w:val="4"/>
        </w:numPr>
        <w:ind w:left="1260" w:leftChars="0" w:hanging="420" w:firstLineChars="0"/>
        <w:rPr>
          <w:rFonts w:hint="default"/>
        </w:rPr>
      </w:pPr>
      <w:r>
        <w:rPr>
          <w:rFonts w:hint="default"/>
          <w:woUserID w:val="1"/>
        </w:rPr>
        <w:t>拥有独立的 Ability 生命周期，适用于基本服务供多 FA 调用或者服务在后台独立运行的场景</w:t>
      </w:r>
    </w:p>
    <w:p>
      <w:pPr>
        <w:numPr>
          <w:ilvl w:val="2"/>
          <w:numId w:val="4"/>
        </w:numPr>
        <w:ind w:left="1260" w:leftChars="0" w:hanging="420" w:firstLineChars="0"/>
        <w:rPr>
          <w:rFonts w:hint="default"/>
        </w:rPr>
      </w:pPr>
      <w:r>
        <w:rPr>
          <w:rFonts w:hint="default"/>
          <w:woUserID w:val="1"/>
        </w:rPr>
        <w:t>IRemoteObject.onRemoteRequest(int, MessageParcel, MessageParcel, MessageOption)</w:t>
      </w:r>
    </w:p>
    <w:p>
      <w:pPr>
        <w:numPr>
          <w:ilvl w:val="1"/>
          <w:numId w:val="4"/>
        </w:numPr>
        <w:ind w:left="840" w:leftChars="0" w:hanging="420" w:firstLineChars="0"/>
        <w:rPr>
          <w:rFonts w:hint="default"/>
        </w:rPr>
      </w:pPr>
      <w:r>
        <w:rPr>
          <w:rFonts w:hint="default"/>
          <w:woUserID w:val="1"/>
        </w:rPr>
        <w:t>Internal Ability 调用方式，采用内部函数调用的方式和 FA 进行通信：</w:t>
      </w:r>
    </w:p>
    <w:p>
      <w:pPr>
        <w:numPr>
          <w:ilvl w:val="2"/>
          <w:numId w:val="4"/>
        </w:numPr>
        <w:ind w:left="1260" w:leftChars="0" w:hanging="420" w:firstLineChars="0"/>
        <w:rPr>
          <w:rFonts w:hint="default"/>
        </w:rPr>
      </w:pPr>
      <w:r>
        <w:rPr>
          <w:rFonts w:hint="default"/>
          <w:woUserID w:val="1"/>
        </w:rPr>
        <w:t>AceInternalAbility.AceInternalAbilityHandler.onRemoteRequest(int, MessageParcel, MessageParcel, MessageOption)</w:t>
      </w:r>
    </w:p>
    <w:p>
      <w:pPr>
        <w:numPr>
          <w:ilvl w:val="2"/>
          <w:numId w:val="4"/>
        </w:numPr>
        <w:ind w:left="1260" w:leftChars="0" w:hanging="420" w:firstLineChars="0"/>
        <w:rPr>
          <w:rFonts w:hint="default"/>
        </w:rPr>
      </w:pPr>
      <w:r>
        <w:rPr>
          <w:rFonts w:hint="default"/>
          <w:woUserID w:val="1"/>
        </w:rPr>
        <w:t>与 FA 共进程，适用于对服务响应时延要求较高的场景。该方式下 PA 不支持其他 FA 访问调用</w:t>
      </w:r>
    </w:p>
    <w:p>
      <w:pPr>
        <w:numPr>
          <w:ilvl w:val="0"/>
          <w:numId w:val="4"/>
        </w:numPr>
        <w:ind w:left="420" w:leftChars="0" w:hanging="420" w:firstLineChars="0"/>
        <w:rPr>
          <w:rFonts w:hint="default"/>
        </w:rPr>
      </w:pPr>
      <w:r>
        <w:rPr>
          <w:rFonts w:hint="default"/>
          <w:woUserID w:val="1"/>
        </w:rPr>
        <w:t>JS 端与 Java 端通过 bundleName 和 abilityName 来进行关联</w:t>
      </w:r>
    </w:p>
    <w:p>
      <w:pPr>
        <w:numPr>
          <w:ilvl w:val="1"/>
          <w:numId w:val="4"/>
        </w:numPr>
        <w:ind w:left="840" w:leftChars="0" w:hanging="420" w:firstLineChars="0"/>
        <w:rPr>
          <w:rFonts w:hint="default"/>
        </w:rPr>
      </w:pPr>
      <w:r>
        <w:rPr>
          <w:rFonts w:hint="default"/>
          <w:woUserID w:val="1"/>
        </w:rPr>
        <w:t>在系统收到 JS 调用请求后，根据开发者在 JS 接口中设置的参数来选择对应的处理方式</w:t>
      </w:r>
    </w:p>
    <w:p>
      <w:pPr>
        <w:numPr>
          <w:ilvl w:val="1"/>
          <w:numId w:val="4"/>
        </w:numPr>
        <w:pBdr>
          <w:bottom w:val="none" w:color="030000" w:sz="0" w:space="0"/>
        </w:pBdr>
        <w:ind w:left="840" w:leftChars="0" w:hanging="420" w:firstLineChars="0"/>
        <w:rPr>
          <w:rFonts w:hint="default"/>
        </w:rPr>
      </w:pPr>
      <w:r>
        <w:rPr>
          <w:rFonts w:hint="default"/>
          <w:woUserID w:val="1"/>
        </w:rPr>
        <w:t>开发者在onRemoteRequest()中实现 PA 提供的业务逻辑</w:t>
      </w:r>
    </w:p>
    <w:p>
      <w:pPr>
        <w:numPr>
          <w:numId w:val="0"/>
        </w:numPr>
        <w:pBdr>
          <w:bottom w:val="double" w:color="030000" w:sz="8" w:space="0"/>
        </w:pBdr>
        <w:tabs>
          <w:tab w:val="left" w:pos="840"/>
        </w:tabs>
        <w:ind w:leftChars="0"/>
        <w:rPr>
          <w:rFonts w:hint="default"/>
        </w:rPr>
      </w:pPr>
    </w:p>
    <w:p>
      <w:pPr>
        <w:pStyle w:val="2"/>
        <w:numPr>
          <w:numId w:val="0"/>
        </w:numPr>
        <w:pBdr>
          <w:top w:val="none" w:color="auto" w:sz="0" w:space="0"/>
        </w:pBdr>
        <w:tabs>
          <w:tab w:val="left" w:pos="840"/>
        </w:tabs>
        <w:bidi w:val="0"/>
        <w:ind w:leftChars="0"/>
        <w:rPr>
          <w:rFonts w:hint="default"/>
          <w:woUserID w:val="1"/>
        </w:rPr>
      </w:pPr>
      <w:r>
        <w:rPr>
          <w:rFonts w:hint="default"/>
          <w:woUserID w:val="1"/>
        </w:rPr>
        <w:t>组件</w:t>
      </w:r>
    </w:p>
    <w:p>
      <w:pPr>
        <w:numPr>
          <w:ilvl w:val="0"/>
          <w:numId w:val="5"/>
        </w:numPr>
        <w:ind w:left="420" w:leftChars="0" w:hanging="420" w:firstLineChars="0"/>
        <w:rPr>
          <w:rFonts w:hint="default"/>
        </w:rPr>
      </w:pPr>
      <w:r>
        <w:rPr>
          <w:rFonts w:hint="default"/>
          <w:woUserID w:val="1"/>
        </w:rPr>
        <w:t>组件的通用属性有：常规属性和渲染属性</w:t>
      </w:r>
    </w:p>
    <w:p>
      <w:pPr>
        <w:numPr>
          <w:ilvl w:val="1"/>
          <w:numId w:val="5"/>
        </w:numPr>
        <w:ind w:left="840" w:leftChars="0" w:hanging="420" w:firstLineChars="0"/>
        <w:rPr>
          <w:rFonts w:hint="default"/>
        </w:rPr>
      </w:pPr>
      <w:r>
        <w:rPr>
          <w:rFonts w:hint="default"/>
          <w:woUserID w:val="1"/>
        </w:rPr>
        <w:t>常规属性：指的是组件普遍支持的用来设置组件基本标识和外观小时特征的属性</w:t>
      </w:r>
    </w:p>
    <w:p>
      <w:pPr>
        <w:numPr>
          <w:numId w:val="0"/>
        </w:numPr>
        <w:ind w:leftChars="0"/>
        <w:rPr>
          <w:rFonts w:hint="default"/>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24"/>
        <w:gridCol w:w="924"/>
        <w:gridCol w:w="909"/>
        <w:gridCol w:w="655"/>
        <w:gridCol w:w="4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vAlign w:val="center"/>
          </w:tcPr>
          <w:p>
            <w:pPr>
              <w:numPr>
                <w:numId w:val="0"/>
              </w:numPr>
              <w:jc w:val="center"/>
              <w:rPr>
                <w:rFonts w:hint="default"/>
                <w:vertAlign w:val="baseline"/>
                <w:woUserID w:val="1"/>
              </w:rPr>
            </w:pPr>
            <w:r>
              <w:rPr>
                <w:rFonts w:hint="default"/>
                <w:vertAlign w:val="baseline"/>
                <w:woUserID w:val="1"/>
              </w:rPr>
              <w:t>名称</w:t>
            </w:r>
          </w:p>
        </w:tc>
        <w:tc>
          <w:tcPr>
            <w:tcW w:w="924" w:type="dxa"/>
            <w:vAlign w:val="center"/>
          </w:tcPr>
          <w:p>
            <w:pPr>
              <w:numPr>
                <w:numId w:val="0"/>
              </w:numPr>
              <w:jc w:val="center"/>
              <w:rPr>
                <w:rFonts w:hint="default"/>
                <w:vertAlign w:val="baseline"/>
                <w:woUserID w:val="1"/>
              </w:rPr>
            </w:pPr>
            <w:r>
              <w:rPr>
                <w:rFonts w:hint="default"/>
                <w:vertAlign w:val="baseline"/>
                <w:woUserID w:val="1"/>
              </w:rPr>
              <w:t>类型</w:t>
            </w:r>
          </w:p>
        </w:tc>
        <w:tc>
          <w:tcPr>
            <w:tcW w:w="909" w:type="dxa"/>
            <w:vAlign w:val="center"/>
          </w:tcPr>
          <w:p>
            <w:pPr>
              <w:numPr>
                <w:numId w:val="0"/>
              </w:numPr>
              <w:jc w:val="center"/>
              <w:rPr>
                <w:rFonts w:hint="default"/>
                <w:vertAlign w:val="baseline"/>
                <w:woUserID w:val="1"/>
              </w:rPr>
            </w:pPr>
            <w:r>
              <w:rPr>
                <w:rFonts w:hint="default"/>
                <w:vertAlign w:val="baseline"/>
                <w:woUserID w:val="1"/>
              </w:rPr>
              <w:t>默认值</w:t>
            </w:r>
          </w:p>
        </w:tc>
        <w:tc>
          <w:tcPr>
            <w:tcW w:w="655" w:type="dxa"/>
            <w:vAlign w:val="center"/>
          </w:tcPr>
          <w:p>
            <w:pPr>
              <w:numPr>
                <w:numId w:val="0"/>
              </w:numPr>
              <w:jc w:val="center"/>
              <w:rPr>
                <w:rFonts w:hint="default"/>
                <w:vertAlign w:val="baseline"/>
                <w:woUserID w:val="1"/>
              </w:rPr>
            </w:pPr>
            <w:r>
              <w:rPr>
                <w:rFonts w:hint="default"/>
                <w:vertAlign w:val="baseline"/>
                <w:woUserID w:val="1"/>
              </w:rPr>
              <w:t>必填</w:t>
            </w:r>
          </w:p>
        </w:tc>
        <w:tc>
          <w:tcPr>
            <w:tcW w:w="4810" w:type="dxa"/>
            <w:vAlign w:val="center"/>
          </w:tcPr>
          <w:p>
            <w:pPr>
              <w:numPr>
                <w:numId w:val="0"/>
              </w:numPr>
              <w:jc w:val="center"/>
              <w:rPr>
                <w:rFonts w:hint="default"/>
                <w:vertAlign w:val="baseline"/>
                <w:woUserID w:val="1"/>
              </w:rPr>
            </w:pPr>
            <w:r>
              <w:rPr>
                <w:rFonts w:hint="default"/>
                <w:vertAlign w:val="baseline"/>
                <w:woUserID w:val="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vAlign w:val="center"/>
          </w:tcPr>
          <w:p>
            <w:pPr>
              <w:numPr>
                <w:numId w:val="0"/>
              </w:numPr>
              <w:jc w:val="center"/>
              <w:rPr>
                <w:rFonts w:hint="default"/>
                <w:vertAlign w:val="baseline"/>
                <w:woUserID w:val="1"/>
              </w:rPr>
            </w:pPr>
            <w:r>
              <w:rPr>
                <w:rFonts w:hint="default"/>
                <w:vertAlign w:val="baseline"/>
                <w:woUserID w:val="1"/>
              </w:rPr>
              <w:t>id</w:t>
            </w:r>
          </w:p>
        </w:tc>
        <w:tc>
          <w:tcPr>
            <w:tcW w:w="924" w:type="dxa"/>
            <w:vMerge w:val="restart"/>
            <w:vAlign w:val="center"/>
          </w:tcPr>
          <w:p>
            <w:pPr>
              <w:numPr>
                <w:numId w:val="0"/>
              </w:numPr>
              <w:jc w:val="center"/>
              <w:rPr>
                <w:rFonts w:hint="default"/>
                <w:vertAlign w:val="baseline"/>
                <w:woUserID w:val="1"/>
              </w:rPr>
            </w:pPr>
            <w:r>
              <w:rPr>
                <w:rFonts w:hint="default"/>
                <w:vertAlign w:val="baseline"/>
                <w:woUserID w:val="1"/>
              </w:rPr>
              <w:t>string</w:t>
            </w:r>
          </w:p>
        </w:tc>
        <w:tc>
          <w:tcPr>
            <w:tcW w:w="909" w:type="dxa"/>
            <w:vMerge w:val="restart"/>
            <w:vAlign w:val="center"/>
          </w:tcPr>
          <w:p>
            <w:pPr>
              <w:numPr>
                <w:numId w:val="0"/>
              </w:numPr>
              <w:jc w:val="center"/>
              <w:rPr>
                <w:rFonts w:hint="default"/>
                <w:vertAlign w:val="baseline"/>
                <w:woUserID w:val="1"/>
              </w:rPr>
            </w:pPr>
            <w:r>
              <w:rPr>
                <w:rFonts w:hint="default"/>
                <w:vertAlign w:val="baseline"/>
                <w:woUserID w:val="1"/>
              </w:rPr>
              <w:t>-</w:t>
            </w:r>
          </w:p>
        </w:tc>
        <w:tc>
          <w:tcPr>
            <w:tcW w:w="655" w:type="dxa"/>
            <w:vMerge w:val="restart"/>
            <w:vAlign w:val="center"/>
          </w:tcPr>
          <w:p>
            <w:pPr>
              <w:numPr>
                <w:numId w:val="0"/>
              </w:numPr>
              <w:jc w:val="center"/>
              <w:rPr>
                <w:rFonts w:hint="default"/>
                <w:vertAlign w:val="baseline"/>
                <w:woUserID w:val="1"/>
              </w:rPr>
            </w:pPr>
            <w:r>
              <w:rPr>
                <w:rFonts w:hint="default"/>
                <w:vertAlign w:val="baseline"/>
                <w:woUserID w:val="1"/>
              </w:rPr>
              <w:t>否</w:t>
            </w:r>
          </w:p>
        </w:tc>
        <w:tc>
          <w:tcPr>
            <w:tcW w:w="4810" w:type="dxa"/>
            <w:vAlign w:val="center"/>
          </w:tcPr>
          <w:p>
            <w:pPr>
              <w:numPr>
                <w:numId w:val="0"/>
              </w:numPr>
              <w:jc w:val="left"/>
              <w:rPr>
                <w:rFonts w:hint="default"/>
                <w:vertAlign w:val="baseline"/>
                <w:woUserID w:val="1"/>
              </w:rPr>
            </w:pPr>
            <w:r>
              <w:rPr>
                <w:rFonts w:hint="default"/>
                <w:vertAlign w:val="baseline"/>
                <w:woUserID w:val="1"/>
              </w:rPr>
              <w:t>组件的唯一标识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vAlign w:val="center"/>
          </w:tcPr>
          <w:p>
            <w:pPr>
              <w:numPr>
                <w:numId w:val="0"/>
              </w:numPr>
              <w:jc w:val="center"/>
              <w:rPr>
                <w:rFonts w:hint="default"/>
                <w:vertAlign w:val="baseline"/>
                <w:woUserID w:val="1"/>
              </w:rPr>
            </w:pPr>
            <w:r>
              <w:rPr>
                <w:rFonts w:hint="default"/>
                <w:vertAlign w:val="baseline"/>
                <w:woUserID w:val="1"/>
              </w:rPr>
              <w:t>style</w:t>
            </w:r>
          </w:p>
        </w:tc>
        <w:tc>
          <w:tcPr>
            <w:tcW w:w="924" w:type="dxa"/>
            <w:vMerge w:val="continue"/>
            <w:tcBorders/>
            <w:vAlign w:val="center"/>
          </w:tcPr>
          <w:p>
            <w:pPr>
              <w:numPr>
                <w:numId w:val="0"/>
              </w:numPr>
              <w:jc w:val="center"/>
              <w:rPr>
                <w:rFonts w:hint="default"/>
                <w:vertAlign w:val="baseline"/>
              </w:rPr>
            </w:pPr>
          </w:p>
        </w:tc>
        <w:tc>
          <w:tcPr>
            <w:tcW w:w="909" w:type="dxa"/>
            <w:vMerge w:val="continue"/>
            <w:tcBorders/>
            <w:vAlign w:val="center"/>
          </w:tcPr>
          <w:p>
            <w:pPr>
              <w:numPr>
                <w:numId w:val="0"/>
              </w:numPr>
              <w:jc w:val="center"/>
              <w:rPr>
                <w:rFonts w:hint="default"/>
                <w:vertAlign w:val="baseline"/>
              </w:rPr>
            </w:pPr>
          </w:p>
        </w:tc>
        <w:tc>
          <w:tcPr>
            <w:tcW w:w="655" w:type="dxa"/>
            <w:vMerge w:val="continue"/>
            <w:tcBorders/>
            <w:vAlign w:val="center"/>
          </w:tcPr>
          <w:p>
            <w:pPr>
              <w:numPr>
                <w:numId w:val="0"/>
              </w:numPr>
              <w:jc w:val="center"/>
              <w:rPr>
                <w:rFonts w:hint="default"/>
                <w:vertAlign w:val="baseline"/>
              </w:rPr>
            </w:pPr>
          </w:p>
        </w:tc>
        <w:tc>
          <w:tcPr>
            <w:tcW w:w="4810" w:type="dxa"/>
            <w:vAlign w:val="center"/>
          </w:tcPr>
          <w:p>
            <w:pPr>
              <w:numPr>
                <w:numId w:val="0"/>
              </w:numPr>
              <w:jc w:val="left"/>
              <w:rPr>
                <w:rFonts w:hint="default"/>
                <w:vertAlign w:val="baseline"/>
                <w:woUserID w:val="1"/>
              </w:rPr>
            </w:pPr>
            <w:r>
              <w:rPr>
                <w:rFonts w:hint="default"/>
                <w:vertAlign w:val="baseline"/>
                <w:woUserID w:val="1"/>
              </w:rPr>
              <w:t>组件的样式声明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vAlign w:val="center"/>
          </w:tcPr>
          <w:p>
            <w:pPr>
              <w:numPr>
                <w:numId w:val="0"/>
              </w:numPr>
              <w:jc w:val="center"/>
              <w:rPr>
                <w:rFonts w:hint="default"/>
                <w:vertAlign w:val="baseline"/>
                <w:woUserID w:val="1"/>
              </w:rPr>
            </w:pPr>
            <w:r>
              <w:rPr>
                <w:rFonts w:hint="default"/>
                <w:vertAlign w:val="baseline"/>
                <w:woUserID w:val="1"/>
              </w:rPr>
              <w:t>class</w:t>
            </w:r>
          </w:p>
        </w:tc>
        <w:tc>
          <w:tcPr>
            <w:tcW w:w="924" w:type="dxa"/>
            <w:vMerge w:val="continue"/>
            <w:tcBorders/>
            <w:vAlign w:val="center"/>
          </w:tcPr>
          <w:p>
            <w:pPr>
              <w:numPr>
                <w:numId w:val="0"/>
              </w:numPr>
              <w:jc w:val="center"/>
              <w:rPr>
                <w:rFonts w:hint="default"/>
                <w:vertAlign w:val="baseline"/>
              </w:rPr>
            </w:pPr>
          </w:p>
        </w:tc>
        <w:tc>
          <w:tcPr>
            <w:tcW w:w="909" w:type="dxa"/>
            <w:vMerge w:val="continue"/>
            <w:tcBorders/>
            <w:vAlign w:val="center"/>
          </w:tcPr>
          <w:p>
            <w:pPr>
              <w:numPr>
                <w:numId w:val="0"/>
              </w:numPr>
              <w:jc w:val="center"/>
              <w:rPr>
                <w:rFonts w:hint="default"/>
                <w:vertAlign w:val="baseline"/>
              </w:rPr>
            </w:pPr>
          </w:p>
        </w:tc>
        <w:tc>
          <w:tcPr>
            <w:tcW w:w="655" w:type="dxa"/>
            <w:vMerge w:val="continue"/>
            <w:tcBorders/>
            <w:vAlign w:val="center"/>
          </w:tcPr>
          <w:p>
            <w:pPr>
              <w:numPr>
                <w:numId w:val="0"/>
              </w:numPr>
              <w:jc w:val="center"/>
              <w:rPr>
                <w:rFonts w:hint="default"/>
                <w:vertAlign w:val="baseline"/>
              </w:rPr>
            </w:pPr>
          </w:p>
        </w:tc>
        <w:tc>
          <w:tcPr>
            <w:tcW w:w="4810" w:type="dxa"/>
            <w:vAlign w:val="center"/>
          </w:tcPr>
          <w:p>
            <w:pPr>
              <w:numPr>
                <w:numId w:val="0"/>
              </w:numPr>
              <w:jc w:val="left"/>
              <w:rPr>
                <w:rFonts w:hint="default"/>
                <w:vertAlign w:val="baseline"/>
                <w:woUserID w:val="1"/>
              </w:rPr>
            </w:pPr>
            <w:r>
              <w:rPr>
                <w:rFonts w:hint="default"/>
                <w:vertAlign w:val="baseline"/>
                <w:woUserID w:val="1"/>
              </w:rPr>
              <w:t>组件的样式类，用于引用样式表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vAlign w:val="center"/>
          </w:tcPr>
          <w:p>
            <w:pPr>
              <w:numPr>
                <w:numId w:val="0"/>
              </w:numPr>
              <w:jc w:val="center"/>
              <w:rPr>
                <w:rFonts w:hint="default"/>
                <w:vertAlign w:val="baseline"/>
                <w:woUserID w:val="1"/>
              </w:rPr>
            </w:pPr>
            <w:r>
              <w:rPr>
                <w:rFonts w:hint="default"/>
                <w:vertAlign w:val="baseline"/>
                <w:woUserID w:val="1"/>
              </w:rPr>
              <w:t>ref</w:t>
            </w:r>
          </w:p>
        </w:tc>
        <w:tc>
          <w:tcPr>
            <w:tcW w:w="924" w:type="dxa"/>
            <w:vMerge w:val="continue"/>
            <w:tcBorders/>
            <w:vAlign w:val="center"/>
          </w:tcPr>
          <w:p>
            <w:pPr>
              <w:numPr>
                <w:numId w:val="0"/>
              </w:numPr>
              <w:jc w:val="center"/>
              <w:rPr>
                <w:rFonts w:hint="default"/>
                <w:vertAlign w:val="baseline"/>
              </w:rPr>
            </w:pPr>
          </w:p>
        </w:tc>
        <w:tc>
          <w:tcPr>
            <w:tcW w:w="909" w:type="dxa"/>
            <w:vMerge w:val="continue"/>
            <w:tcBorders/>
            <w:vAlign w:val="center"/>
          </w:tcPr>
          <w:p>
            <w:pPr>
              <w:numPr>
                <w:numId w:val="0"/>
              </w:numPr>
              <w:jc w:val="center"/>
              <w:rPr>
                <w:rFonts w:hint="default"/>
                <w:vertAlign w:val="baseline"/>
              </w:rPr>
            </w:pPr>
          </w:p>
        </w:tc>
        <w:tc>
          <w:tcPr>
            <w:tcW w:w="655" w:type="dxa"/>
            <w:vMerge w:val="continue"/>
            <w:tcBorders/>
            <w:vAlign w:val="center"/>
          </w:tcPr>
          <w:p>
            <w:pPr>
              <w:numPr>
                <w:numId w:val="0"/>
              </w:numPr>
              <w:jc w:val="center"/>
              <w:rPr>
                <w:rFonts w:hint="default"/>
                <w:vertAlign w:val="baseline"/>
              </w:rPr>
            </w:pPr>
          </w:p>
        </w:tc>
        <w:tc>
          <w:tcPr>
            <w:tcW w:w="4810" w:type="dxa"/>
            <w:vAlign w:val="center"/>
          </w:tcPr>
          <w:p>
            <w:pPr>
              <w:numPr>
                <w:numId w:val="0"/>
              </w:numPr>
              <w:jc w:val="left"/>
              <w:rPr>
                <w:rFonts w:hint="default"/>
                <w:vertAlign w:val="baseline"/>
                <w:woUserID w:val="1"/>
              </w:rPr>
            </w:pPr>
            <w:r>
              <w:rPr>
                <w:rFonts w:hint="default"/>
                <w:vertAlign w:val="baseline"/>
                <w:woUserID w:val="1"/>
              </w:rPr>
              <w:t>用来指定指向子元素或子组件的引用信息，该引用将注册到父组件的$refs属性对象上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vAlign w:val="center"/>
          </w:tcPr>
          <w:p>
            <w:pPr>
              <w:numPr>
                <w:numId w:val="0"/>
              </w:numPr>
              <w:jc w:val="center"/>
              <w:rPr>
                <w:rFonts w:hint="default"/>
                <w:vertAlign w:val="baseline"/>
                <w:woUserID w:val="1"/>
              </w:rPr>
            </w:pPr>
            <w:r>
              <w:rPr>
                <w:rFonts w:hint="default"/>
                <w:vertAlign w:val="baseline"/>
                <w:woUserID w:val="1"/>
              </w:rPr>
              <w:t>disabled</w:t>
            </w:r>
          </w:p>
        </w:tc>
        <w:tc>
          <w:tcPr>
            <w:tcW w:w="924" w:type="dxa"/>
            <w:vMerge w:val="restart"/>
            <w:vAlign w:val="center"/>
          </w:tcPr>
          <w:p>
            <w:pPr>
              <w:numPr>
                <w:numId w:val="0"/>
              </w:numPr>
              <w:jc w:val="center"/>
              <w:rPr>
                <w:rFonts w:hint="default"/>
                <w:vertAlign w:val="baseline"/>
                <w:woUserID w:val="1"/>
              </w:rPr>
            </w:pPr>
            <w:r>
              <w:rPr>
                <w:rFonts w:hint="default"/>
                <w:vertAlign w:val="baseline"/>
                <w:woUserID w:val="1"/>
              </w:rPr>
              <w:t>boolean</w:t>
            </w:r>
          </w:p>
        </w:tc>
        <w:tc>
          <w:tcPr>
            <w:tcW w:w="909" w:type="dxa"/>
            <w:vMerge w:val="restart"/>
            <w:vAlign w:val="center"/>
          </w:tcPr>
          <w:p>
            <w:pPr>
              <w:numPr>
                <w:numId w:val="0"/>
              </w:numPr>
              <w:jc w:val="center"/>
              <w:rPr>
                <w:rFonts w:hint="default"/>
                <w:vertAlign w:val="baseline"/>
                <w:woUserID w:val="1"/>
              </w:rPr>
            </w:pPr>
            <w:r>
              <w:rPr>
                <w:rFonts w:hint="default"/>
                <w:vertAlign w:val="baseline"/>
                <w:woUserID w:val="1"/>
              </w:rPr>
              <w:t>false</w:t>
            </w:r>
          </w:p>
        </w:tc>
        <w:tc>
          <w:tcPr>
            <w:tcW w:w="655" w:type="dxa"/>
            <w:vMerge w:val="continue"/>
            <w:tcBorders/>
            <w:vAlign w:val="center"/>
          </w:tcPr>
          <w:p>
            <w:pPr>
              <w:numPr>
                <w:numId w:val="0"/>
              </w:numPr>
              <w:jc w:val="center"/>
              <w:rPr>
                <w:rFonts w:hint="default"/>
                <w:vertAlign w:val="baseline"/>
              </w:rPr>
            </w:pPr>
          </w:p>
        </w:tc>
        <w:tc>
          <w:tcPr>
            <w:tcW w:w="4810" w:type="dxa"/>
            <w:vAlign w:val="center"/>
          </w:tcPr>
          <w:p>
            <w:pPr>
              <w:numPr>
                <w:numId w:val="0"/>
              </w:numPr>
              <w:jc w:val="left"/>
              <w:rPr>
                <w:rFonts w:hint="default"/>
                <w:vertAlign w:val="baseline"/>
                <w:woUserID w:val="1"/>
              </w:rPr>
            </w:pPr>
            <w:r>
              <w:rPr>
                <w:rFonts w:hint="default"/>
                <w:vertAlign w:val="baseline"/>
                <w:woUserID w:val="1"/>
              </w:rPr>
              <w:t>当前组件是否被禁用，在禁用场景下，组件将无法响应用户交互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vAlign w:val="center"/>
          </w:tcPr>
          <w:p>
            <w:pPr>
              <w:numPr>
                <w:numId w:val="0"/>
              </w:numPr>
              <w:jc w:val="center"/>
              <w:rPr>
                <w:rFonts w:hint="default"/>
                <w:vertAlign w:val="baseline"/>
                <w:woUserID w:val="1"/>
              </w:rPr>
            </w:pPr>
            <w:r>
              <w:rPr>
                <w:rFonts w:hint="default"/>
                <w:vertAlign w:val="baseline"/>
                <w:woUserID w:val="1"/>
              </w:rPr>
              <w:t>focusable</w:t>
            </w:r>
          </w:p>
        </w:tc>
        <w:tc>
          <w:tcPr>
            <w:tcW w:w="924" w:type="dxa"/>
            <w:vMerge w:val="continue"/>
            <w:tcBorders/>
            <w:vAlign w:val="center"/>
          </w:tcPr>
          <w:p>
            <w:pPr>
              <w:numPr>
                <w:numId w:val="0"/>
              </w:numPr>
              <w:jc w:val="center"/>
              <w:rPr>
                <w:rFonts w:hint="default"/>
                <w:vertAlign w:val="baseline"/>
              </w:rPr>
            </w:pPr>
          </w:p>
        </w:tc>
        <w:tc>
          <w:tcPr>
            <w:tcW w:w="909" w:type="dxa"/>
            <w:vMerge w:val="continue"/>
            <w:tcBorders/>
            <w:vAlign w:val="center"/>
          </w:tcPr>
          <w:p>
            <w:pPr>
              <w:numPr>
                <w:numId w:val="0"/>
              </w:numPr>
              <w:jc w:val="center"/>
              <w:rPr>
                <w:rFonts w:hint="default"/>
                <w:vertAlign w:val="baseline"/>
              </w:rPr>
            </w:pPr>
          </w:p>
        </w:tc>
        <w:tc>
          <w:tcPr>
            <w:tcW w:w="655" w:type="dxa"/>
            <w:vMerge w:val="continue"/>
            <w:tcBorders/>
            <w:vAlign w:val="center"/>
          </w:tcPr>
          <w:p>
            <w:pPr>
              <w:numPr>
                <w:numId w:val="0"/>
              </w:numPr>
              <w:jc w:val="center"/>
              <w:rPr>
                <w:rFonts w:hint="default"/>
                <w:vertAlign w:val="baseline"/>
              </w:rPr>
            </w:pPr>
          </w:p>
        </w:tc>
        <w:tc>
          <w:tcPr>
            <w:tcW w:w="4810" w:type="dxa"/>
            <w:vAlign w:val="center"/>
          </w:tcPr>
          <w:p>
            <w:pPr>
              <w:numPr>
                <w:numId w:val="0"/>
              </w:numPr>
              <w:jc w:val="left"/>
              <w:rPr>
                <w:rFonts w:hint="default"/>
                <w:vertAlign w:val="baseline"/>
                <w:woUserID w:val="1"/>
              </w:rPr>
            </w:pPr>
            <w:r>
              <w:rPr>
                <w:rFonts w:hint="default"/>
                <w:vertAlign w:val="baseline"/>
                <w:woUserID w:val="1"/>
              </w:rPr>
              <w:t>当前组件是否可以获取焦点</w:t>
            </w:r>
          </w:p>
          <w:p>
            <w:pPr>
              <w:numPr>
                <w:numId w:val="0"/>
              </w:numPr>
              <w:jc w:val="left"/>
              <w:rPr>
                <w:rFonts w:hint="default"/>
                <w:vertAlign w:val="baseline"/>
                <w:woUserID w:val="1"/>
              </w:rPr>
            </w:pPr>
            <w:r>
              <w:rPr>
                <w:rFonts w:hint="default"/>
                <w:vertAlign w:val="baseline"/>
                <w:woUserID w:val="1"/>
              </w:rPr>
              <w:t>当focusabled设置为true时，组件可以响应焦点事件和按键事件</w:t>
            </w:r>
          </w:p>
          <w:p>
            <w:pPr>
              <w:numPr>
                <w:numId w:val="0"/>
              </w:numPr>
              <w:jc w:val="left"/>
              <w:rPr>
                <w:rFonts w:hint="default"/>
                <w:vertAlign w:val="baseline"/>
                <w:woUserID w:val="1"/>
              </w:rPr>
            </w:pPr>
            <w:r>
              <w:rPr>
                <w:rFonts w:hint="default"/>
                <w:vertAlign w:val="baseline"/>
                <w:woUserID w:val="1"/>
              </w:rPr>
              <w:t>当组件额外设置了按键事件或者点击事件时，框架会设置该属性为true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vAlign w:val="center"/>
          </w:tcPr>
          <w:p>
            <w:pPr>
              <w:numPr>
                <w:numId w:val="0"/>
              </w:numPr>
              <w:jc w:val="center"/>
              <w:rPr>
                <w:rFonts w:hint="default"/>
                <w:vertAlign w:val="baseline"/>
                <w:woUserID w:val="1"/>
              </w:rPr>
            </w:pPr>
            <w:r>
              <w:rPr>
                <w:rFonts w:hint="default"/>
                <w:vertAlign w:val="baseline"/>
                <w:woUserID w:val="1"/>
              </w:rPr>
              <w:t>data-*</w:t>
            </w:r>
          </w:p>
        </w:tc>
        <w:tc>
          <w:tcPr>
            <w:tcW w:w="924" w:type="dxa"/>
            <w:vMerge w:val="restart"/>
            <w:vAlign w:val="center"/>
          </w:tcPr>
          <w:p>
            <w:pPr>
              <w:numPr>
                <w:ilvl w:val="0"/>
                <w:numId w:val="0"/>
              </w:numPr>
              <w:jc w:val="center"/>
              <w:rPr>
                <w:rFonts w:hint="default"/>
                <w:vertAlign w:val="baseline"/>
                <w:woUserID w:val="1"/>
              </w:rPr>
            </w:pPr>
            <w:r>
              <w:rPr>
                <w:rFonts w:hint="default"/>
                <w:vertAlign w:val="baseline"/>
                <w:woUserID w:val="1"/>
              </w:rPr>
              <w:t>string</w:t>
            </w:r>
          </w:p>
        </w:tc>
        <w:tc>
          <w:tcPr>
            <w:tcW w:w="909" w:type="dxa"/>
            <w:vMerge w:val="restart"/>
            <w:vAlign w:val="center"/>
          </w:tcPr>
          <w:p>
            <w:pPr>
              <w:numPr>
                <w:numId w:val="0"/>
              </w:numPr>
              <w:jc w:val="center"/>
              <w:rPr>
                <w:rFonts w:hint="default"/>
                <w:vertAlign w:val="baseline"/>
                <w:woUserID w:val="1"/>
              </w:rPr>
            </w:pPr>
            <w:r>
              <w:rPr>
                <w:rFonts w:hint="default"/>
                <w:vertAlign w:val="baseline"/>
                <w:woUserID w:val="1"/>
              </w:rPr>
              <w:t>-</w:t>
            </w:r>
          </w:p>
        </w:tc>
        <w:tc>
          <w:tcPr>
            <w:tcW w:w="655" w:type="dxa"/>
            <w:vMerge w:val="continue"/>
            <w:tcBorders/>
            <w:vAlign w:val="center"/>
          </w:tcPr>
          <w:p>
            <w:pPr>
              <w:numPr>
                <w:numId w:val="0"/>
              </w:numPr>
              <w:jc w:val="center"/>
              <w:rPr>
                <w:rFonts w:hint="default"/>
                <w:vertAlign w:val="baseline"/>
              </w:rPr>
            </w:pPr>
          </w:p>
        </w:tc>
        <w:tc>
          <w:tcPr>
            <w:tcW w:w="4810" w:type="dxa"/>
            <w:vAlign w:val="center"/>
          </w:tcPr>
          <w:p>
            <w:pPr>
              <w:numPr>
                <w:numId w:val="0"/>
              </w:numPr>
              <w:jc w:val="left"/>
              <w:rPr>
                <w:rFonts w:hint="default"/>
                <w:vertAlign w:val="baseline"/>
                <w:woUserID w:val="1"/>
              </w:rPr>
            </w:pPr>
            <w:r>
              <w:rPr>
                <w:rFonts w:hint="default"/>
                <w:vertAlign w:val="baseline"/>
                <w:woUserID w:val="1"/>
              </w:rPr>
              <w:t>给当前组件设置data-*属性，进行相应的数据存储和读取</w:t>
            </w:r>
          </w:p>
          <w:p>
            <w:pPr>
              <w:numPr>
                <w:numId w:val="0"/>
              </w:numPr>
              <w:jc w:val="left"/>
              <w:rPr>
                <w:rFonts w:hint="default"/>
                <w:vertAlign w:val="baseline"/>
                <w:woUserID w:val="1"/>
              </w:rPr>
            </w:pPr>
            <w:r>
              <w:rPr>
                <w:rFonts w:hint="default"/>
                <w:vertAlign w:val="baseline"/>
                <w:woUserID w:val="1"/>
              </w:rPr>
              <w:t>大小写不敏感，如data-A和data-a默认相同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vAlign w:val="center"/>
          </w:tcPr>
          <w:p>
            <w:pPr>
              <w:numPr>
                <w:numId w:val="0"/>
              </w:numPr>
              <w:jc w:val="center"/>
              <w:rPr>
                <w:rFonts w:hint="default"/>
                <w:vertAlign w:val="baseline"/>
                <w:woUserID w:val="1"/>
              </w:rPr>
            </w:pPr>
            <w:r>
              <w:rPr>
                <w:rFonts w:hint="default"/>
                <w:vertAlign w:val="baseline"/>
                <w:woUserID w:val="1"/>
              </w:rPr>
              <w:t>click-effect</w:t>
            </w:r>
          </w:p>
        </w:tc>
        <w:tc>
          <w:tcPr>
            <w:tcW w:w="924" w:type="dxa"/>
            <w:vMerge w:val="continue"/>
            <w:tcBorders/>
            <w:vAlign w:val="center"/>
          </w:tcPr>
          <w:p>
            <w:pPr>
              <w:numPr>
                <w:numId w:val="0"/>
              </w:numPr>
              <w:jc w:val="center"/>
              <w:rPr>
                <w:rFonts w:hint="default"/>
                <w:vertAlign w:val="baseline"/>
              </w:rPr>
            </w:pPr>
          </w:p>
        </w:tc>
        <w:tc>
          <w:tcPr>
            <w:tcW w:w="909" w:type="dxa"/>
            <w:vMerge w:val="continue"/>
            <w:tcBorders/>
            <w:vAlign w:val="center"/>
          </w:tcPr>
          <w:p>
            <w:pPr>
              <w:numPr>
                <w:numId w:val="0"/>
              </w:numPr>
              <w:jc w:val="center"/>
              <w:rPr>
                <w:rFonts w:hint="default"/>
                <w:vertAlign w:val="baseline"/>
              </w:rPr>
            </w:pPr>
          </w:p>
        </w:tc>
        <w:tc>
          <w:tcPr>
            <w:tcW w:w="655" w:type="dxa"/>
            <w:vMerge w:val="continue"/>
            <w:tcBorders/>
            <w:vAlign w:val="center"/>
          </w:tcPr>
          <w:p>
            <w:pPr>
              <w:numPr>
                <w:numId w:val="0"/>
              </w:numPr>
              <w:jc w:val="center"/>
              <w:rPr>
                <w:rFonts w:hint="default"/>
                <w:vertAlign w:val="baseline"/>
              </w:rPr>
            </w:pPr>
          </w:p>
        </w:tc>
        <w:tc>
          <w:tcPr>
            <w:tcW w:w="4810" w:type="dxa"/>
            <w:vAlign w:val="center"/>
          </w:tcPr>
          <w:p>
            <w:pPr>
              <w:numPr>
                <w:numId w:val="0"/>
              </w:numPr>
              <w:jc w:val="left"/>
              <w:rPr>
                <w:rFonts w:hint="default"/>
                <w:vertAlign w:val="baseline"/>
                <w:woUserID w:val="1"/>
              </w:rPr>
            </w:pPr>
            <w:r>
              <w:rPr>
                <w:rFonts w:hint="default"/>
                <w:vertAlign w:val="baseline"/>
                <w:woUserID w:val="1"/>
              </w:rPr>
              <w:t>通过这个属性可以设置组件的弹性点击效果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vAlign w:val="center"/>
          </w:tcPr>
          <w:p>
            <w:pPr>
              <w:numPr>
                <w:numId w:val="0"/>
              </w:numPr>
              <w:jc w:val="center"/>
              <w:rPr>
                <w:rFonts w:hint="default"/>
                <w:vertAlign w:val="baseline"/>
                <w:woUserID w:val="1"/>
              </w:rPr>
            </w:pPr>
            <w:r>
              <w:rPr>
                <w:rFonts w:hint="default"/>
                <w:vertAlign w:val="baseline"/>
                <w:woUserID w:val="1"/>
              </w:rPr>
              <w:t>dir</w:t>
            </w:r>
          </w:p>
        </w:tc>
        <w:tc>
          <w:tcPr>
            <w:tcW w:w="924" w:type="dxa"/>
            <w:vMerge w:val="continue"/>
            <w:tcBorders/>
            <w:vAlign w:val="center"/>
          </w:tcPr>
          <w:p>
            <w:pPr>
              <w:numPr>
                <w:numId w:val="0"/>
              </w:numPr>
              <w:jc w:val="center"/>
              <w:rPr>
                <w:rFonts w:hint="default"/>
                <w:vertAlign w:val="baseline"/>
                <w:woUserID w:val="1"/>
              </w:rPr>
            </w:pPr>
          </w:p>
        </w:tc>
        <w:tc>
          <w:tcPr>
            <w:tcW w:w="909" w:type="dxa"/>
            <w:vAlign w:val="center"/>
          </w:tcPr>
          <w:p>
            <w:pPr>
              <w:numPr>
                <w:numId w:val="0"/>
              </w:numPr>
              <w:jc w:val="center"/>
              <w:rPr>
                <w:rFonts w:hint="default"/>
                <w:vertAlign w:val="baseline"/>
                <w:woUserID w:val="1"/>
              </w:rPr>
            </w:pPr>
            <w:r>
              <w:rPr>
                <w:rFonts w:hint="default"/>
                <w:vertAlign w:val="baseline"/>
                <w:woUserID w:val="1"/>
              </w:rPr>
              <w:t>auto</w:t>
            </w:r>
          </w:p>
        </w:tc>
        <w:tc>
          <w:tcPr>
            <w:tcW w:w="655" w:type="dxa"/>
            <w:vMerge w:val="continue"/>
            <w:tcBorders/>
            <w:vAlign w:val="center"/>
          </w:tcPr>
          <w:p>
            <w:pPr>
              <w:numPr>
                <w:numId w:val="0"/>
              </w:numPr>
              <w:jc w:val="center"/>
              <w:rPr>
                <w:rFonts w:hint="default"/>
                <w:vertAlign w:val="baseline"/>
              </w:rPr>
            </w:pPr>
          </w:p>
        </w:tc>
        <w:tc>
          <w:tcPr>
            <w:tcW w:w="4810" w:type="dxa"/>
            <w:vAlign w:val="center"/>
          </w:tcPr>
          <w:p>
            <w:pPr>
              <w:numPr>
                <w:numId w:val="0"/>
              </w:numPr>
              <w:jc w:val="left"/>
              <w:rPr>
                <w:rFonts w:hint="default"/>
                <w:vertAlign w:val="baseline"/>
                <w:woUserID w:val="1"/>
              </w:rPr>
            </w:pPr>
            <w:r>
              <w:rPr>
                <w:rFonts w:hint="default"/>
                <w:vertAlign w:val="baseline"/>
                <w:woUserID w:val="1"/>
              </w:rPr>
              <w:t>设置元素布局模式，支持设置rtl、ltr和auto三种属性值</w:t>
            </w:r>
            <w:bookmarkStart w:id="0" w:name="_GoBack"/>
            <w:bookmarkEnd w:id="0"/>
          </w:p>
        </w:tc>
      </w:tr>
    </w:tbl>
    <w:p>
      <w:pPr>
        <w:numPr>
          <w:numId w:val="0"/>
        </w:numPr>
        <w:ind w:leftChars="0"/>
        <w:rPr>
          <w:rFonts w:hint="default"/>
        </w:rPr>
      </w:pPr>
    </w:p>
    <w:p>
      <w:pPr>
        <w:numPr>
          <w:ilvl w:val="1"/>
          <w:numId w:val="5"/>
        </w:numPr>
        <w:ind w:left="840" w:leftChars="0" w:hanging="420" w:firstLineChars="0"/>
        <w:rPr>
          <w:rFonts w:hint="default"/>
        </w:rPr>
      </w:pPr>
      <w:r>
        <w:rPr>
          <w:rFonts w:hint="default"/>
          <w:woUserID w:val="1"/>
        </w:rPr>
        <w:t>渲染属性：指的是组件普遍支持的用来设置组件是否渲染的属性</w:t>
      </w:r>
    </w:p>
    <w:p>
      <w:pPr>
        <w:numPr>
          <w:numId w:val="0"/>
        </w:numPr>
        <w:ind w:leftChars="0"/>
        <w:rPr>
          <w:rFonts w:hint="default"/>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95"/>
        <w:gridCol w:w="2061"/>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5" w:type="dxa"/>
            <w:vAlign w:val="center"/>
          </w:tcPr>
          <w:p>
            <w:pPr>
              <w:numPr>
                <w:numId w:val="0"/>
              </w:numPr>
              <w:jc w:val="center"/>
              <w:rPr>
                <w:rFonts w:hint="default"/>
                <w:vertAlign w:val="baseline"/>
                <w:woUserID w:val="1"/>
              </w:rPr>
            </w:pPr>
            <w:r>
              <w:rPr>
                <w:rFonts w:hint="default"/>
                <w:vertAlign w:val="baseline"/>
                <w:woUserID w:val="1"/>
              </w:rPr>
              <w:t>名称</w:t>
            </w:r>
          </w:p>
        </w:tc>
        <w:tc>
          <w:tcPr>
            <w:tcW w:w="2061" w:type="dxa"/>
            <w:vAlign w:val="center"/>
          </w:tcPr>
          <w:p>
            <w:pPr>
              <w:numPr>
                <w:numId w:val="0"/>
              </w:numPr>
              <w:jc w:val="center"/>
              <w:rPr>
                <w:rFonts w:hint="default"/>
                <w:vertAlign w:val="baseline"/>
                <w:woUserID w:val="1"/>
              </w:rPr>
            </w:pPr>
            <w:r>
              <w:rPr>
                <w:rFonts w:hint="default"/>
                <w:vertAlign w:val="baseline"/>
                <w:woUserID w:val="1"/>
              </w:rPr>
              <w:t>类型</w:t>
            </w:r>
          </w:p>
        </w:tc>
        <w:tc>
          <w:tcPr>
            <w:tcW w:w="4566" w:type="dxa"/>
            <w:vAlign w:val="center"/>
          </w:tcPr>
          <w:p>
            <w:pPr>
              <w:numPr>
                <w:numId w:val="0"/>
              </w:numPr>
              <w:jc w:val="center"/>
              <w:rPr>
                <w:rFonts w:hint="default"/>
                <w:vertAlign w:val="baseline"/>
                <w:woUserID w:val="1"/>
              </w:rPr>
            </w:pPr>
            <w:r>
              <w:rPr>
                <w:rFonts w:hint="default"/>
                <w:vertAlign w:val="baseline"/>
                <w:woUserID w:val="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5" w:type="dxa"/>
            <w:vAlign w:val="center"/>
          </w:tcPr>
          <w:p>
            <w:pPr>
              <w:numPr>
                <w:numId w:val="0"/>
              </w:numPr>
              <w:jc w:val="center"/>
              <w:rPr>
                <w:rFonts w:hint="default"/>
                <w:vertAlign w:val="baseline"/>
                <w:woUserID w:val="1"/>
              </w:rPr>
            </w:pPr>
            <w:r>
              <w:rPr>
                <w:rFonts w:hint="default"/>
                <w:vertAlign w:val="baseline"/>
                <w:woUserID w:val="1"/>
              </w:rPr>
              <w:t>for</w:t>
            </w:r>
          </w:p>
        </w:tc>
        <w:tc>
          <w:tcPr>
            <w:tcW w:w="2061" w:type="dxa"/>
            <w:vAlign w:val="center"/>
          </w:tcPr>
          <w:p>
            <w:pPr>
              <w:numPr>
                <w:numId w:val="0"/>
              </w:numPr>
              <w:jc w:val="center"/>
              <w:rPr>
                <w:rFonts w:hint="default"/>
                <w:vertAlign w:val="baseline"/>
                <w:woUserID w:val="1"/>
              </w:rPr>
            </w:pPr>
            <w:r>
              <w:rPr>
                <w:rFonts w:hint="default"/>
                <w:vertAlign w:val="baseline"/>
                <w:woUserID w:val="1"/>
              </w:rPr>
              <w:t>Array</w:t>
            </w:r>
          </w:p>
        </w:tc>
        <w:tc>
          <w:tcPr>
            <w:tcW w:w="4566" w:type="dxa"/>
            <w:vAlign w:val="center"/>
          </w:tcPr>
          <w:p>
            <w:pPr>
              <w:numPr>
                <w:numId w:val="0"/>
              </w:numPr>
              <w:jc w:val="center"/>
              <w:rPr>
                <w:rFonts w:hint="default"/>
                <w:vertAlign w:val="baseline"/>
              </w:rPr>
            </w:pPr>
            <w:r>
              <w:rPr>
                <w:rFonts w:hint="default"/>
                <w:vertAlign w:val="baseline"/>
                <w:woUserID w:val="1"/>
              </w:rPr>
              <w:t>根据设置的数据列表，展开当前元素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5" w:type="dxa"/>
            <w:vAlign w:val="center"/>
          </w:tcPr>
          <w:p>
            <w:pPr>
              <w:numPr>
                <w:numId w:val="0"/>
              </w:numPr>
              <w:jc w:val="center"/>
              <w:rPr>
                <w:rFonts w:hint="default"/>
                <w:vertAlign w:val="baseline"/>
                <w:woUserID w:val="1"/>
              </w:rPr>
            </w:pPr>
            <w:r>
              <w:rPr>
                <w:rFonts w:hint="default"/>
                <w:vertAlign w:val="baseline"/>
                <w:woUserID w:val="1"/>
              </w:rPr>
              <w:t>if</w:t>
            </w:r>
          </w:p>
        </w:tc>
        <w:tc>
          <w:tcPr>
            <w:tcW w:w="2061" w:type="dxa"/>
            <w:vMerge w:val="restart"/>
            <w:vAlign w:val="center"/>
          </w:tcPr>
          <w:p>
            <w:pPr>
              <w:numPr>
                <w:numId w:val="0"/>
              </w:numPr>
              <w:jc w:val="center"/>
              <w:rPr>
                <w:rFonts w:hint="default"/>
                <w:vertAlign w:val="baseline"/>
                <w:woUserID w:val="1"/>
              </w:rPr>
            </w:pPr>
            <w:r>
              <w:rPr>
                <w:rFonts w:hint="default"/>
                <w:vertAlign w:val="baseline"/>
                <w:woUserID w:val="1"/>
              </w:rPr>
              <w:t>boolean</w:t>
            </w:r>
          </w:p>
        </w:tc>
        <w:tc>
          <w:tcPr>
            <w:tcW w:w="4566" w:type="dxa"/>
            <w:vMerge w:val="restart"/>
            <w:vAlign w:val="center"/>
          </w:tcPr>
          <w:p>
            <w:pPr>
              <w:numPr>
                <w:numId w:val="0"/>
              </w:numPr>
              <w:jc w:val="center"/>
              <w:rPr>
                <w:rFonts w:hint="default"/>
                <w:vertAlign w:val="baseline"/>
              </w:rPr>
            </w:pPr>
            <w:r>
              <w:rPr>
                <w:rFonts w:hint="default"/>
                <w:vertAlign w:val="baseline"/>
                <w:woUserID w:val="1"/>
              </w:rPr>
              <w:t>根据设置的boolean值，显示或隐藏当前元素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5" w:type="dxa"/>
            <w:vAlign w:val="center"/>
          </w:tcPr>
          <w:p>
            <w:pPr>
              <w:numPr>
                <w:numId w:val="0"/>
              </w:numPr>
              <w:jc w:val="center"/>
              <w:rPr>
                <w:rFonts w:hint="default"/>
                <w:vertAlign w:val="baseline"/>
                <w:woUserID w:val="1"/>
              </w:rPr>
            </w:pPr>
            <w:r>
              <w:rPr>
                <w:rFonts w:hint="default"/>
                <w:vertAlign w:val="baseline"/>
                <w:woUserID w:val="1"/>
              </w:rPr>
              <w:t>show</w:t>
            </w:r>
          </w:p>
        </w:tc>
        <w:tc>
          <w:tcPr>
            <w:tcW w:w="2061" w:type="dxa"/>
            <w:vMerge w:val="continue"/>
            <w:tcBorders/>
            <w:vAlign w:val="center"/>
          </w:tcPr>
          <w:p>
            <w:pPr>
              <w:numPr>
                <w:numId w:val="0"/>
              </w:numPr>
              <w:jc w:val="center"/>
              <w:rPr>
                <w:rFonts w:hint="default"/>
                <w:vertAlign w:val="baseline"/>
              </w:rPr>
            </w:pPr>
          </w:p>
        </w:tc>
        <w:tc>
          <w:tcPr>
            <w:tcW w:w="4566" w:type="dxa"/>
            <w:vMerge w:val="continue"/>
            <w:tcBorders/>
            <w:vAlign w:val="center"/>
          </w:tcPr>
          <w:p>
            <w:pPr>
              <w:numPr>
                <w:numId w:val="0"/>
              </w:numPr>
              <w:jc w:val="center"/>
              <w:rPr>
                <w:rFonts w:hint="default"/>
                <w:vertAlign w:val="baseline"/>
              </w:rPr>
            </w:pPr>
          </w:p>
        </w:tc>
      </w:tr>
    </w:tbl>
    <w:p>
      <w:pPr>
        <w:numPr>
          <w:numId w:val="0"/>
        </w:numPr>
        <w:ind w:leftChars="0"/>
        <w:rPr>
          <w:rFonts w:hint="default"/>
        </w:rPr>
      </w:pPr>
    </w:p>
    <w:p>
      <w:pPr>
        <w:numPr>
          <w:ilvl w:val="0"/>
          <w:numId w:val="5"/>
        </w:numPr>
        <w:ind w:left="420" w:leftChars="0" w:hanging="420" w:firstLineChars="0"/>
        <w:rPr>
          <w:rFonts w:hint="default"/>
        </w:rPr>
      </w:pPr>
      <w:r>
        <w:rPr>
          <w:rFonts w:hint="default"/>
          <w:woUserID w:val="1"/>
        </w:rPr>
        <w:t>属性和样式不能混用，不能在属性字段中进行样式设置</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Wingdings">
    <w:altName w:val="Kingsoft Confett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rPr>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3"/>
                      <w:rPr>
                        <w:rFonts w:hint="default"/>
                      </w:rPr>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woUserID w:val="1"/>
      </w:rPr>
    </w:pPr>
    <w:r>
      <w:rPr>
        <w:woUserID w:val="1"/>
      </w:rPr>
      <w:t>HarmonyOS JS UI框架简介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BE009F"/>
    <w:multiLevelType w:val="multilevel"/>
    <w:tmpl w:val="CFBE009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6EFD625"/>
    <w:multiLevelType w:val="singleLevel"/>
    <w:tmpl w:val="F6EFD6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044D45"/>
    <w:multiLevelType w:val="multilevel"/>
    <w:tmpl w:val="FF044D4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FD2880E"/>
    <w:multiLevelType w:val="multilevel"/>
    <w:tmpl w:val="FFD2880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7E9E40FE"/>
    <w:multiLevelType w:val="multilevel"/>
    <w:tmpl w:val="7E9E40F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BE4F5C"/>
    <w:rsid w:val="3FCC44C5"/>
    <w:rsid w:val="796F4A38"/>
    <w:rsid w:val="7DE6CEB4"/>
    <w:rsid w:val="7FDF6D3F"/>
    <w:rsid w:val="ED7D9154"/>
    <w:rsid w:val="F3FD209B"/>
    <w:rsid w:val="FD6B9133"/>
    <w:rsid w:val="FFBF92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WWO_openplatform_20211103224516-6047e75704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2021-12-12T02:42:00Z</dcterms:created>
  <dcterms:modified xsi:type="dcterms:W3CDTF">2021-12-13T00:50:22Z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