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Title"/>
      </w:pPr>
      <w:r>
        <w:t xml:space="preserve">Wildfire carbon darkens western North American glaciers in large fire seasons</w:t>
      </w:r>
    </w:p>
    <w:p>
      <w:pPr>
        <w:pStyle w:val="Authors"/>
      </w:pPr>
      <w:r>
        <w:t xml:space="preserve">Thierry Laurent St-Pierre</w:t>
      </w:r>
      <w:r>
        <w:rPr>
          <w:vertAlign w:val="superscript"/>
        </w:rPr>
        <w:t>1</w:t>
      </w:r>
      <w:r>
        <w:t xml:space="preserve">, [[C. Kinnard]]</w:t>
      </w:r>
    </w:p>
    <w:p>
      <w:pPr>
        <w:pStyle w:val="Authors"/>
      </w:pPr>
      <w:r>
        <w:t xml:space="preserve">Draft, 19 October 2026</w:t>
      </w:r>
    </w:p>
    <w:p>
      <w:pPr>
        <w:pStyle w:val="Heading1"/>
      </w:pPr>
      <w:r>
        <w:t xml:space="preserve">Abstract</w:t>
      </w:r>
    </w:p>
    <w:p>
      <w:pPr>
        <w:pStyle w:val="BodyText"/>
      </w:pPr>
      <w:r>
        <w:t xml:space="preserve">Glaciers are losing mass worldwide; in western North America, this loss is enhanced by glacier darkening and coincides with increased fire activity. Absorbing aerosols from wildfire smoke darken snow and ice, but the effect of their deposition on glacier albedo has not been quantified across the region. We combine 22 years of satellite albedo with deposition from the Canadian air quality model RAQDPS, run with and without fire emissions, in a Bayesian hierarchical model. Here we show that summer albedo decreases with fire carbon deposition in all three elevation zones and that this darkening is concentrated in large fire seasons. Assuming a linear response, the darkening averaged across regions over 2002–2023 is 0.0028; the additional melt is equivalent to 0.7–2% of glacier mass loss. Yet 72% of the darkening comes from seven summers. In western Canada, the observed area burned and RAQDPS deposition more than doubled from 2002–2012 to 2013–2023. In the Mackenzie and Selwyn Mountains in 2023, the darkening of 0.06 exceeds the interannual variability of albedo; the additional melt could reach 320 mm water equivalent. Most global glacier models use temperature index methods with constant melt factors and therefore cannot capture this additional melt.</w:t>
      </w:r>
    </w:p>
    <w:p>
      <w:pPr>
        <w:pStyle w:val="Heading1"/>
      </w:pPr>
      <w:r>
        <w:t xml:space="preserve">Introduction</w:t>
      </w:r>
    </w:p>
    <w:p>
      <w:pPr>
        <w:pStyle w:val="BodyText"/>
      </w:pPr>
      <w:r>
        <w:t xml:space="preserve">Between 2000 and 2023, glaciers in western North America lost 60.8 ± 6.6 Gt yr⁻¹ in Alaska and 9.0 ± 0.9 Gt yr⁻¹ in Western Canada and the conterminous United States (The GlaMBIE Team 2025). Surface albedo strongly influences this loss by determining the absorption of solar radiation, the main source of energy for melting snow and ice (Gardner and Sharp 2010).</w:t>
      </w:r>
    </w:p>
    <w:p>
      <w:pPr>
        <w:pStyle w:val="BodyText"/>
      </w:pPr>
      <w:r>
        <w:t xml:space="preserve">Between 2000 and 2023, glaciers in western North America lost 60.8 ± 6.6 Gt yr⁻¹ in Alaska and 9.0 ± 0.9 Gt yr⁻¹ in Western Canada and the conterminous United States (The GlaMBIE Team 2025). Surface albedo strongly influences this loss by determining the absorption of solar radiation, the main source of energy for melting snow and ice (Gardner and Sharp 2010). In western North America, Williamson et al. (2025) attribute 31% of the change in glacier mass balance between the 2000s and the 2010s to an albedo decline mediated by air temperature.</w:t>
      </w:r>
    </w:p>
    <w:p>
      <w:pPr>
        <w:pStyle w:val="Heading1"/>
      </w:pPr>
      <w:r>
        <w:t xml:space="preserve">References</w:t>
      </w:r>
    </w:p>
    <w:p>
      <w:pPr>
        <w:pStyle w:val="BodyText"/>
        <w:keepNext/>
        <w:spacing w:before="0" w:after="0" w:line="480" w:lineRule="auto"/>
        <w:ind w:left="720" w:hanging="720"/>
      </w:pPr>
      <w:r>
        <w:fldChar w:fldCharType="begin"/>
      </w:r>
      <w:r>
        <w:instrText xml:space="preserve"> ADDIN ZOTERO_BIBL {"uncited":[],"omitted":[],"custom":[]} CSL_BIBLIOGRAPHY </w:instrText>
      </w:r>
      <w:r>
        <w:fldChar w:fldCharType="separate"/>
      </w:r>
      <w:bookmarkStart w:id="100" w:name="ref-x0"/>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00"/>
    </w:p>
    <w:p>
      <w:pPr>
        <w:pStyle w:val="BodyText"/>
        <w:keepNext/>
        <w:spacing w:before="0" w:after="0" w:line="480" w:lineRule="auto"/>
        <w:ind w:left="720" w:hanging="720"/>
      </w:pPr>
      <w:bookmarkStart w:id="101" w:name="ref-x1"/>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01"/>
    </w:p>
    <w:p>
      <w:pPr>
        <w:pStyle w:val="BodyText"/>
        <w:keepNext/>
        <w:spacing w:before="0" w:after="0" w:line="480" w:lineRule="auto"/>
        <w:ind w:left="720" w:hanging="720"/>
      </w:pPr>
      <w:bookmarkStart w:id="102" w:name="ref-x2"/>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02"/>
    </w:p>
    <w:p>
      <w:pPr>
        <w:pStyle w:val="BodyText"/>
        <w:keepNext/>
        <w:spacing w:before="0" w:after="0" w:line="480" w:lineRule="auto"/>
        <w:ind w:left="720" w:hanging="720"/>
      </w:pPr>
      <w:bookmarkStart w:id="103" w:name="ref-x3"/>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03"/>
    </w:p>
    <w:p>
      <w:pPr>
        <w:pStyle w:val="BodyText"/>
        <w:keepNext/>
        <w:spacing w:before="0" w:after="0" w:line="480" w:lineRule="auto"/>
        <w:ind w:left="720" w:hanging="720"/>
      </w:pPr>
      <w:bookmarkStart w:id="104" w:name="ref-x4"/>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04"/>
    </w:p>
    <w:p>
      <w:pPr>
        <w:pStyle w:val="BodyText"/>
        <w:keepNext/>
        <w:spacing w:before="0" w:after="0" w:line="480" w:lineRule="auto"/>
        <w:ind w:left="720" w:hanging="720"/>
      </w:pPr>
      <w:bookmarkStart w:id="105" w:name="ref-x5"/>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05"/>
    </w:p>
    <w:p>
      <w:pPr>
        <w:pStyle w:val="BodyText"/>
        <w:keepNext/>
        <w:spacing w:before="0" w:after="0" w:line="480" w:lineRule="auto"/>
        <w:ind w:left="720" w:hanging="720"/>
      </w:pPr>
      <w:bookmarkStart w:id="106" w:name="ref-x6"/>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06"/>
    </w:p>
    <w:p>
      <w:pPr>
        <w:pStyle w:val="BodyText"/>
        <w:keepNext/>
        <w:spacing w:before="0" w:after="0" w:line="480" w:lineRule="auto"/>
        <w:ind w:left="720" w:hanging="720"/>
      </w:pPr>
      <w:bookmarkStart w:id="107" w:name="ref-x7"/>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07"/>
    </w:p>
    <w:p>
      <w:pPr>
        <w:pStyle w:val="BodyText"/>
        <w:keepNext/>
        <w:spacing w:before="0" w:after="0" w:line="480" w:lineRule="auto"/>
        <w:ind w:left="720" w:hanging="720"/>
      </w:pPr>
      <w:bookmarkStart w:id="108" w:name="ref-x8"/>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08"/>
    </w:p>
    <w:p>
      <w:pPr>
        <w:pStyle w:val="BodyText"/>
        <w:keepNext/>
        <w:spacing w:before="0" w:after="0" w:line="480" w:lineRule="auto"/>
        <w:ind w:left="720" w:hanging="720"/>
      </w:pPr>
      <w:bookmarkStart w:id="109" w:name="ref-x9"/>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09"/>
    </w:p>
    <w:p>
      <w:pPr>
        <w:pStyle w:val="BodyText"/>
        <w:keepNext/>
        <w:spacing w:before="0" w:after="0" w:line="480" w:lineRule="auto"/>
        <w:ind w:left="720" w:hanging="720"/>
      </w:pPr>
      <w:bookmarkStart w:id="110" w:name="ref-x10"/>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10"/>
    </w:p>
    <w:p>
      <w:pPr>
        <w:pStyle w:val="BodyText"/>
        <w:keepNext/>
        <w:spacing w:before="0" w:after="0" w:line="480" w:lineRule="auto"/>
        <w:ind w:left="720" w:hanging="720"/>
      </w:pPr>
      <w:bookmarkStart w:id="111" w:name="ref-x11"/>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11"/>
    </w:p>
    <w:p>
      <w:pPr>
        <w:pStyle w:val="BodyText"/>
        <w:keepNext/>
        <w:spacing w:before="0" w:after="0" w:line="480" w:lineRule="auto"/>
        <w:ind w:left="720" w:hanging="720"/>
      </w:pPr>
      <w:bookmarkStart w:id="112" w:name="ref-x12"/>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12"/>
    </w:p>
    <w:p>
      <w:pPr>
        <w:pStyle w:val="BodyText"/>
        <w:keepNext/>
        <w:spacing w:before="0" w:after="0" w:line="480" w:lineRule="auto"/>
        <w:ind w:left="720" w:hanging="720"/>
      </w:pPr>
      <w:bookmarkStart w:id="113" w:name="ref-x13"/>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13"/>
    </w:p>
    <w:p>
      <w:pPr>
        <w:pStyle w:val="BodyText"/>
        <w:keepNext/>
        <w:spacing w:before="0" w:after="0" w:line="480" w:lineRule="auto"/>
        <w:ind w:left="720" w:hanging="720"/>
      </w:pPr>
      <w:bookmarkStart w:id="114" w:name="ref-x14"/>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14"/>
    </w:p>
    <w:p>
      <w:pPr>
        <w:pStyle w:val="BodyText"/>
        <w:keepNext/>
        <w:spacing w:before="0" w:after="0" w:line="480" w:lineRule="auto"/>
        <w:ind w:left="720" w:hanging="720"/>
      </w:pPr>
      <w:bookmarkStart w:id="115" w:name="ref-x15"/>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15"/>
    </w:p>
    <w:p>
      <w:pPr>
        <w:pStyle w:val="BodyText"/>
        <w:keepNext/>
        <w:spacing w:before="0" w:after="0" w:line="480" w:lineRule="auto"/>
        <w:ind w:left="720" w:hanging="720"/>
      </w:pPr>
      <w:bookmarkStart w:id="116" w:name="ref-x16"/>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16"/>
    </w:p>
    <w:p>
      <w:pPr>
        <w:pStyle w:val="BodyText"/>
        <w:keepNext/>
        <w:spacing w:before="0" w:after="0" w:line="480" w:lineRule="auto"/>
        <w:ind w:left="720" w:hanging="720"/>
      </w:pPr>
      <w:bookmarkStart w:id="117" w:name="ref-x17"/>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17"/>
    </w:p>
    <w:p>
      <w:pPr>
        <w:pStyle w:val="BodyText"/>
        <w:keepNext/>
        <w:spacing w:before="0" w:after="0" w:line="480" w:lineRule="auto"/>
        <w:ind w:left="720" w:hanging="720"/>
      </w:pPr>
      <w:bookmarkStart w:id="118" w:name="ref-x18"/>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18"/>
    </w:p>
    <w:p>
      <w:pPr>
        <w:pStyle w:val="BodyText"/>
        <w:keepNext/>
        <w:spacing w:before="0" w:after="0" w:line="480" w:lineRule="auto"/>
        <w:ind w:left="720" w:hanging="720"/>
      </w:pPr>
      <w:bookmarkStart w:id="119" w:name="ref-x19"/>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19"/>
    </w:p>
    <w:p>
      <w:pPr>
        <w:pStyle w:val="BodyText"/>
        <w:keepNext/>
        <w:spacing w:before="0" w:after="0" w:line="480" w:lineRule="auto"/>
        <w:ind w:left="720" w:hanging="720"/>
      </w:pPr>
      <w:bookmarkStart w:id="120" w:name="ref-x20"/>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20"/>
    </w:p>
    <w:p>
      <w:pPr>
        <w:pStyle w:val="BodyText"/>
        <w:keepNext/>
        <w:spacing w:before="0" w:after="0" w:line="480" w:lineRule="auto"/>
        <w:ind w:left="720" w:hanging="720"/>
      </w:pPr>
      <w:bookmarkStart w:id="121" w:name="ref-x21"/>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21"/>
    </w:p>
    <w:p>
      <w:pPr>
        <w:pStyle w:val="BodyText"/>
        <w:keepNext/>
        <w:spacing w:before="0" w:after="0" w:line="480" w:lineRule="auto"/>
        <w:ind w:left="720" w:hanging="720"/>
      </w:pPr>
      <w:bookmarkStart w:id="122" w:name="ref-x22"/>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22"/>
    </w:p>
    <w:p>
      <w:pPr>
        <w:pStyle w:val="BodyText"/>
        <w:keepNext/>
        <w:spacing w:before="0" w:after="0" w:line="480" w:lineRule="auto"/>
        <w:ind w:left="720" w:hanging="720"/>
      </w:pPr>
      <w:bookmarkStart w:id="123" w:name="ref-x23"/>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23"/>
    </w:p>
    <w:p>
      <w:pPr>
        <w:pStyle w:val="BodyText"/>
        <w:keepNext/>
        <w:spacing w:before="0" w:after="0" w:line="480" w:lineRule="auto"/>
        <w:ind w:left="720" w:hanging="720"/>
      </w:pPr>
      <w:bookmarkStart w:id="124" w:name="ref-x24"/>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24"/>
    </w:p>
    <w:p>
      <w:pPr>
        <w:pStyle w:val="BodyText"/>
        <w:keepNext/>
        <w:spacing w:before="0" w:after="0" w:line="480" w:lineRule="auto"/>
        <w:ind w:left="720" w:hanging="720"/>
      </w:pPr>
      <w:bookmarkStart w:id="125" w:name="ref-x25"/>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25"/>
    </w:p>
    <w:p>
      <w:pPr>
        <w:pStyle w:val="BodyText"/>
        <w:keepNext/>
        <w:spacing w:before="0" w:after="0" w:line="480" w:lineRule="auto"/>
        <w:ind w:left="720" w:hanging="720"/>
      </w:pPr>
      <w:bookmarkStart w:id="126" w:name="ref-x26"/>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26"/>
    </w:p>
    <w:p>
      <w:pPr>
        <w:pStyle w:val="BodyText"/>
        <w:keepNext/>
        <w:spacing w:before="0" w:after="0" w:line="480" w:lineRule="auto"/>
        <w:ind w:left="720" w:hanging="720"/>
      </w:pPr>
      <w:bookmarkStart w:id="127" w:name="ref-x27"/>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27"/>
    </w:p>
    <w:p>
      <w:pPr>
        <w:pStyle w:val="BodyText"/>
        <w:keepNext/>
        <w:spacing w:before="0" w:after="0" w:line="480" w:lineRule="auto"/>
        <w:ind w:left="720" w:hanging="720"/>
      </w:pPr>
      <w:bookmarkStart w:id="128" w:name="ref-x28"/>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28"/>
    </w:p>
    <w:p>
      <w:pPr>
        <w:pStyle w:val="BodyText"/>
        <w:keepNext/>
        <w:spacing w:before="0" w:after="0" w:line="480" w:lineRule="auto"/>
        <w:ind w:left="720" w:hanging="720"/>
      </w:pPr>
      <w:bookmarkStart w:id="129" w:name="ref-x29"/>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29"/>
    </w:p>
    <w:p>
      <w:pPr>
        <w:pStyle w:val="BodyText"/>
        <w:keepNext/>
        <w:spacing w:before="0" w:after="0" w:line="480" w:lineRule="auto"/>
        <w:ind w:left="720" w:hanging="720"/>
      </w:pPr>
      <w:bookmarkStart w:id="130" w:name="ref-x30"/>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30"/>
    </w:p>
    <w:p>
      <w:pPr>
        <w:pStyle w:val="BodyText"/>
        <w:keepNext/>
        <w:spacing w:before="0" w:after="0" w:line="480" w:lineRule="auto"/>
        <w:ind w:left="720" w:hanging="720"/>
      </w:pPr>
      <w:bookmarkStart w:id="131" w:name="ref-x31"/>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31"/>
    </w:p>
    <w:p>
      <w:pPr>
        <w:pStyle w:val="BodyText"/>
        <w:keepNext/>
        <w:spacing w:before="0" w:after="0" w:line="480" w:lineRule="auto"/>
        <w:ind w:left="720" w:hanging="720"/>
      </w:pPr>
      <w:bookmarkStart w:id="132" w:name="ref-x32"/>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32"/>
    </w:p>
    <w:p>
      <w:pPr>
        <w:pStyle w:val="BodyText"/>
        <w:keepNext/>
        <w:spacing w:before="0" w:after="0" w:line="480" w:lineRule="auto"/>
        <w:ind w:left="720" w:hanging="720"/>
      </w:pPr>
      <w:bookmarkStart w:id="133" w:name="ref-x33"/>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33"/>
    </w:p>
    <w:p>
      <w:pPr>
        <w:pStyle w:val="BodyText"/>
        <w:keepNext/>
        <w:spacing w:before="0" w:after="0" w:line="480" w:lineRule="auto"/>
        <w:ind w:left="720" w:hanging="720"/>
      </w:pPr>
      <w:bookmarkStart w:id="134" w:name="ref-x34"/>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34"/>
    </w:p>
    <w:p>
      <w:pPr>
        <w:pStyle w:val="BodyText"/>
        <w:keepNext/>
        <w:spacing w:before="0" w:after="0" w:line="480" w:lineRule="auto"/>
        <w:ind w:left="720" w:hanging="720"/>
      </w:pPr>
      <w:bookmarkStart w:id="135" w:name="ref-x35"/>
      <w:r>
        <w:t xml:space="preserve">Pavlovic, Radenko, Jack Chen, Kerry Anderson, et al. 2016. “The FireWork Air Quality Forecast System with Near-Real-Time Biomass Burning Emissions: Recent Developments and Evaluation of Performance for the 2015 North American Wildfire Season.” </w:t>
      </w:r>
      <w:r>
        <w:rPr>
          <w:i/>
          <w:iCs/>
        </w:rPr>
        <w:t xml:space="preserve">Journal of the Air &amp; Waste Management Association</w:t>
      </w:r>
      <w:r>
        <w:t xml:space="preserve"> 66 (9): 819–41. https://doi.org/10.1080/10962247.2016.1158214.</w:t>
      </w:r>
      <w:bookmarkEnd w:id="135"/>
    </w:p>
    <w:p>
      <w:pPr>
        <w:pStyle w:val="BodyText"/>
        <w:keepNext/>
        <w:spacing w:before="0" w:after="0" w:line="480" w:lineRule="auto"/>
        <w:ind w:left="720" w:hanging="720"/>
      </w:pPr>
      <w:bookmarkStart w:id="136" w:name="ref-x36"/>
      <w:r>
        <w:t xml:space="preserve">Phelps, Hannah, Valentina Radić, and Scott N. Williamson. 2025. “Regional Glacier Melt Modeling: Insights from Surface Energy Balance and Positive Degree-Day Comparisons.” </w:t>
      </w:r>
      <w:r>
        <w:rPr>
          <w:i/>
          <w:iCs/>
        </w:rPr>
        <w:t xml:space="preserve">Journal of Climate</w:t>
      </w:r>
      <w:r>
        <w:t xml:space="preserve"> 30 (17): 6823–50. https://doi.org/10.1175/JCLI-D-16-0609.1.</w:t>
      </w:r>
      <w:bookmarkEnd w:id="136"/>
    </w:p>
    <w:p>
      <w:pPr>
        <w:pStyle w:val="BodyText"/>
        <w:keepNext/>
        <w:spacing w:before="0" w:after="0" w:line="480" w:lineRule="auto"/>
        <w:ind w:left="720" w:hanging="720"/>
      </w:pPr>
      <w:bookmarkStart w:id="137" w:name="ref-x37"/>
      <w:r>
        <w:t xml:space="preserve">Pu, Wei, Jiecan Cui, Dongyou Wu, et al. 2021. “Unprecedented Snow Darkening and Melting in New Zealand Due to 2019–2020 Australian Wildfires.” </w:t>
      </w:r>
      <w:r>
        <w:rPr>
          <w:i/>
          <w:iCs/>
        </w:rPr>
        <w:t xml:space="preserve">Journal of Glaciology</w:t>
      </w:r>
      <w:r>
        <w:t xml:space="preserve"> 71: e91. https://doi.org/10.1017/S0022143025100531.</w:t>
      </w:r>
      <w:bookmarkEnd w:id="137"/>
    </w:p>
    <w:p>
      <w:pPr>
        <w:pStyle w:val="BodyText"/>
        <w:keepNext/>
        <w:spacing w:before="0" w:after="0" w:line="480" w:lineRule="auto"/>
        <w:ind w:left="720" w:hanging="720"/>
      </w:pPr>
      <w:bookmarkStart w:id="138" w:name="ref-x38"/>
      <w:r>
        <w:t xml:space="preserve">Randles, C. A., A. M. da Silva, V. Buchard, et al. 2017. “The MERRA-2 Aerosol Reanalysis, 1980 Onward. Part I: System Description and Data Assimilation Evaluation.” </w:t>
      </w:r>
      <w:r>
        <w:rPr>
          <w:i/>
          <w:iCs/>
        </w:rPr>
        <w:t xml:space="preserve">Communications Earth &amp; Environment</w:t>
      </w:r>
      <w:r>
        <w:t xml:space="preserve"> 4 (1): 309. https://doi.org/10.1038/s43247-023-00977-1.</w:t>
      </w:r>
      <w:bookmarkEnd w:id="138"/>
    </w:p>
    <w:p>
      <w:pPr>
        <w:pStyle w:val="BodyText"/>
        <w:keepNext/>
        <w:spacing w:before="0" w:after="0" w:line="480" w:lineRule="auto"/>
        <w:ind w:left="720" w:hanging="720"/>
      </w:pPr>
      <w:bookmarkStart w:id="139" w:name="ref-x39"/>
      <w:r>
        <w:t xml:space="preserve">Ren, Shaoting, Li Jia, Massimo Menenti, and Jing Zhang. 2023. “Changes in Glacier Albedo and the Driving Factors in the Western Nyainqentanglha Mountains from 2001 to 2020.” </w:t>
      </w:r>
      <w:r>
        <w:rPr>
          <w:i/>
          <w:iCs/>
        </w:rPr>
        <w:t xml:space="preserve">Fundamental Research</w:t>
      </w:r>
      <w:r>
        <w:t xml:space="preserve"> 1 (3): 224–31. https://doi.org/10.1016/j.fmre.2021.04.001.</w:t>
      </w:r>
      <w:bookmarkEnd w:id="139"/>
      <w:r>
        <w:fldChar w:fldCharType="end"/>
      </w:r>
    </w:p>
    <w:sectPr>
      <w:headerReference w:type="default" r:id="rId2"/>
      <w:footerReference w:type="default" r:id="rId3"/>
      <w:pgSz w:w="12240" w:h="15840"/>
      <w:pgMar w:top="1440" w:right="1440" w:bottom="1440" w:left="1440" w:header="708" w:footer="708" w:gutter="0"/>
      <w:lnNumType w:countBy="1" w:restart="continuous"/>
      <w:cols w:space="708"/>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jc w:val="right"/>
    </w:pPr>
    <w:r>
      <w:rPr>
        <w:sz w:val="20"/>
      </w:rPr>
      <w:t>St-Pierre et al. — Wildfire carbon and glacier albedo</w:t>
    </w:r>
  </w:p>
</w:hdr>
</file>

<file path=word/styles.xml><?xml version="1.0" encoding="utf-8"?>
<w:styles xmlns:w="http://schemas.openxmlformats.org/wordprocessingml/2006/main" xmlns:r="http://schemas.openxmlformats.org/officeDocument/2006/relationships" xmlns:w14="http://schemas.microsoft.com/office/word/2010/wordml">
  <w:docDefaults>
    <w:rPrDefault>
      <w:rPr>
        <w:rFonts w:ascii="Times New Roman" w:hAnsi="Times New Roman" w:cs="Times New Roman"/>
        <w:sz w:val="24"/>
        <w:lang w:val="en-CA"/>
      </w:rPr>
    </w:rPrDefault>
    <w:pPrDefault>
      <w:pPr>
        <w:spacing w:after="0" w:line="240" w:lineRule="auto"/>
      </w:pPr>
    </w:pPrDefault>
  </w:docDefaults>
  <w:style w:type="paragraph" w:default="1" w:styleId="Normal">
    <w:name w:val="Normal"/>
  </w:style>
  <w:style w:type="paragraph" w:styleId="Title">
    <w:name w:val="Title"/>
    <w:basedOn w:val="Normal"/>
    <w:pPr>
      <w:jc w:val="center"/>
    </w:pPr>
    <w:rPr>
      <w:b/>
      <w:sz w:val="28"/>
    </w:rPr>
  </w:style>
  <w:style w:type="paragraph" w:styleId="Authors">
    <w:name w:val="Authors"/>
    <w:basedOn w:val="Normal"/>
    <w:pPr>
      <w:spacing w:before="120" w:after="120"/>
      <w:jc w:val="center"/>
    </w:pPr>
    <w:rPr>
      <w:b/>
    </w:rPr>
  </w:style>
  <w:style w:type="paragraph" w:styleId="Heading1">
    <w:name w:val="heading 1"/>
    <w:basedOn w:val="Normal"/>
    <w:pPr>
      <w:keepNext/>
      <w:spacing w:before="480" w:after="240"/>
      <w:outlineLvl w:val="0"/>
    </w:pPr>
    <w:rPr>
      <w:b/>
    </w:rPr>
  </w:style>
  <w:style w:type="paragraph" w:styleId="BodyText">
    <w:name w:val="Body Text"/>
    <w:basedOn w:val="Normal"/>
    <w:pPr>
      <w:spacing w:after="0" w:line="480" w:lineRule="auto"/>
    </w:pPr>
  </w:style>
  <w:style w:type="character" w:styleId="LineNumber">
    <w:name w:val="line number"/>
    <w:basedOn w:val="DefaultParagraphFon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