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 w14:paraId="1A2B3C01" w14:textId="1A2B3C01" w:rsidR="00A1B2C3" w:rsidRDefault="00A1B2C3">
      <w:pPr>
        <w:pStyle w:val="Titre1"/>
      </w:pPr>
      <w:r>
        <w:t>2.2 Fraction de glace et filtrage des pixels</w:t>
      </w:r>
    </w:p>
    <w:p w14:paraId="1A2B3C02" w14:textId="1A2B3C02" w:rsidR="00A1B2C3" w:rsidRDefault="00A1B2C3" w:rsidP="00D4E5F6">
      <w:pPr>
        <w:jc w:val="both"/>
      </w:pPr>
      <w:r w:rsidRPr="00F00D01">
        <w:t xml:space="preserve">L'albédo de chaque pixel MODIS est calculé à partir des réflectances de surface </w:t>
      </w:r>
      <w:proofErr w:type="spellStart"/>
      <w:r>
        <w:rPr>
          <w:i/>
        </w:rPr>
        <w:t>MOD09GA</w:t>
      </w:r>
      <w:proofErr w:type="spellEnd"/>
      <w:r>
        <w:t xml:space="preserve"> </w:t>
      </w:r>
      <w:r>
        <w:fldChar w:fldCharType="begin"/>
      </w:r>
      <w:r>
        <w:instrText xml:space="preserve"> ADDIN ZOTERO_ITEM CSL_CITATION {"citationID":"Xk2p9","properties":{"formattedCitation":"(Ren et al., 2021)","plainCitation":"(Ren et al., 2021)"},"citationItems":[{"id":412,"uris":["http://zotero.org/users/1/items/ABCD1234"]}],"schema":"https://github.com/citation-style-language/schema/raw/master/csl-citation.json"} </w:instrText>
      </w:r>
      <w:r>
        <w:fldChar w:fldCharType="separate"/>
      </w:r>
      <w:r>
        <w:rPr>
          <w:noProof/>
        </w:rPr>
        <w:t>(Ren et al., 2021)</w:t>
      </w:r>
      <w:r>
        <w:fldChar w:fldCharType="end"/>
      </w:r>
      <w:r>
        <w:t xml:space="preserve">. </w:t>
      </w:r>
      <w:del w:id="101" w:author="Christophe" w:date="2026-10-14T09:02:00Z">
        <w:r w:rsidDel="00C0FFEE">
          <w:delText>Ensuite, on</w:delText>
        </w:r>
      </w:del>
      <w:ins w:id="102" w:author="Christophe" w:date="2026-10-14T09:02:00Z">
        <w:r>
          <w:t>On</w:t>
        </w:r>
      </w:ins>
      <w:r>
        <w:t xml:space="preserve"> ne conserve que les pixels dont la fraction de glace dépasse un seuil fixe</w:t>
      </w:r>
      <w:r>
        <w:rPr>
          <w:rStyle w:val="Appelnotedebasdep"/>
        </w:rPr>
        <w:footnoteReference w:id="1"/>
      </w:r>
      <w:r>
        <w:t>.</w:t>
      </w:r>
    </w:p>
    <w:p w14:paraId="1A2B3C03" w14:textId="1A2B3C03" w:rsidR="00A1B2C3" w:rsidRDefault="00A1B2C3">
      <w:bookmarkStart w:id="0" w:name="_Ref_seuil"/>
      <w:commentRangeStart w:id="1"/>
      <w:commentRangeStart w:id="2"/>
      <w:r>
        <w:t>Le seuil de 0,6 retenu ici</w:t>
      </w:r>
      <w:commentRangeEnd w:id="1"/>
      <w:r>
        <w:rPr>
          <w:rStyle w:val="Marquedecommentaire"/>
        </w:rPr>
        <w:commentReference w:id="1"/>
      </w:r>
      <w:commentRangeEnd w:id="2"/>
      <w:r>
        <w:rPr>
          <w:rStyle w:val="Marquedecommentaire"/>
        </w:rPr>
        <w:commentReference w:id="2"/>
      </w:r>
      <w:bookmarkEnd w:id="0"/>
      <w:r>
        <w:t xml:space="preserve"> offre un compromis entre le nombre de pixels retenus et la pureté du signal glaciaire.</w:t>
      </w:r>
    </w:p>
    <w:p w14:paraId="1A2B3C04" w14:textId="1A2B3C04" w:rsidR="00A1B2C3" w:rsidRDefault="00A1B2C3">
      <w:pPr>
        <w:rPr>
          <w:del w:id="103" w:author="Christophe" w:date="2026-10-14T09:05:00Z"/>
        </w:rPr>
      </w:pPr>
      <w:r>
        <w:t>Ces valeurs sont systématiquement inférieures à celles du produit MCD43A3,</w:t>
      </w:r>
    </w:p>
    <w:p w14:paraId="1A2B3C05" w14:textId="1A2B3C05" w:rsidR="00A1B2C3" w:rsidRDefault="00A1B2C3">
      <w:r>
        <w:t xml:space="preserve">l'écart atteignant </w:t>
      </w:r>
      <w:r>
        <w:rPr>
          <w:b/>
          <w:rPrChange w:id="104" w:author="Christophe" w:date="2026-10-14T09:06:00Z">
            <w:rPr/>
          </w:rPrChange>
        </w:rPr>
        <w:t>0,04</w:t>
      </w:r>
      <w:r>
        <w:t xml:space="preserve"> en fin d'été.</w:t>
      </w:r>
    </w:p>
    <w:p w14:paraId="1A2B3C06" w14:textId="1A2B3C06" w:rsidR="00A1B2C3" w:rsidRDefault="00A1B2C3">
      <w:r>
        <w:t xml:space="preserve">L'albédo large bande suit </w:t>
      </w:r>
      <m:oMath>
        <m:r>
          <m:t>α=0,356</m:t>
        </m:r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(Liang, 2001) ; détails sur </w:t>
      </w:r>
      <w:hyperlink r:id="rId6" w:history="1">
        <w:r>
          <w:rPr>
            <w:rStyle w:val="Lienhypertexte"/>
          </w:rPr>
          <w:t>le site du NSIDC</w:t>
        </w:r>
      </w:hyperlink>
      <w:r>
        <w:t>.</w:t>
      </w:r>
    </w:p>
    <w:tbl>
      <w:tblPr>
        <w:tblStyle w:val="TableauNormal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 w14:paraId="1A2B3C07" w14:textId="1A2B3C07">
            <w:r>
              <w:t>Zone</w:t>
            </w:r>
          </w:p>
        </w:tc>
        <w:tc>
          <w:tcPr>
            <w:tcW w:w="4500" w:type="dxa"/>
          </w:tcPr>
          <w:p w14:paraId="1A2B3C08" w14:textId="1A2B3C08">
            <w:r>
              <w:t>Albédo moyen</w:t>
            </w:r>
          </w:p>
        </w:tc>
      </w:tr>
      <w:tr>
        <w:trPr>
          <w:ins w:id="105" w:author="Christophe" w:date="2026-10-14T09:08:00Z"/>
        </w:trPr>
        <w:tc>
          <w:tcPr>
            <w:tcW w:w="4500" w:type="dxa"/>
          </w:tcPr>
          <w:p w14:paraId="1A2B3C09" w14:textId="1A2B3C09">
            <w:ins w:id="106" w:author="Christophe" w:date="2026-10-14T09:08:00Z">
              <w:r>
                <w:t>Z3</w:t>
              </w:r>
            </w:ins>
          </w:p>
        </w:tc>
        <w:tc>
          <w:tcPr>
            <w:tcW w:w="4500" w:type="dxa"/>
          </w:tcPr>
          <w:p w14:paraId="1A2B3C0A" w14:textId="1A2B3C0A">
            <w:ins w:id="107" w:author="Christophe" w:date="2026-10-14T09:08:00Z">
              <w:r>
                <w:t>0,41</w:t>
              </w:r>
            </w:ins>
          </w:p>
        </w:tc>
      </w:tr>
    </w:tbl>
    <w:p w14:paraId="1A2B3C0B" w14:textId="1A2B3C0B" w:rsidR="00A1B2C3" w:rsidRDefault="00A1B2C3">
      <w:pPr>
        <w:jc w:val="center"/>
      </w:pPr>
      <w:r>
        <w:drawing>
          <wp:inline distT="0" distB="0" distL="0" distR="0">
            <wp:extent cx="914400" cy="914400"/>
            <wp:docPr id="1" name="Figure 2.4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3C0C" w14:textId="1A2B3C0C" w:rsidR="00A1B2C3" w:rsidRDefault="00A1B2C3">
      <w:pPr>
        <w:pStyle w:val="Lgende"/>
        <w:jc w:val="center"/>
        <w:pPrChange w:id="108" w:author="Christophe" w:date="2026-10-14T09:10:00Z">
          <w:pPr>
            <w:pStyle w:val="Lgende"/>
          </w:pPr>
        </w:pPrChange>
      </w:pPr>
      <w:r>
        <w:t xml:space="preserve">Figure 2.4 – Fraction de glace par zone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</w:p>
    <w:p w14:paraId="1A2B3C0D" w14:textId="1A2B3C0D" w:rsidR="00A1B2C3" w:rsidRDefault="00A1B2C3">
      <w:moveFromRangeStart w:id="109" w:author="Christophe" w:date="2026-10-14T09:11:00Z" w:name="move1"/>
      <w:moveFrom w:id="110" w:author="Christophe" w:date="2026-10-14T09:11:00Z">
        <w:r>
          <w:t xml:space="preserve">Les petits glaciers demandent de la prudence. </w:t>
        </w:r>
      </w:moveFrom>
      <w:moveFromRangeEnd w:id="109"/>
      <w:r>
        <w:t>La correction topographique suit l'approche de Sirguey et al.</w:t>
      </w:r>
      <w:moveToRangeStart w:id="111" w:author="Christophe" w:date="2026-10-14T09:11:00Z" w:name="move1"/>
      <w:moveTo w:id="112" w:author="Christophe" w:date="2026-10-14T09:11:00Z">
        <w:r>
          <w:t xml:space="preserve"> Les petits glaciers demandent de la prudence.</w:t>
        </w:r>
      </w:moveTo>
      <w:moveToRangeEnd w:id="111"/>
    </w:p>
    <w:p w14:paraId="1A2B3C0E" w14:textId="1A2B3C0E" w:rsidR="00A1B2C3" w:rsidRDefault="00A1B2C3">
      <w:r>
        <w:t xml:space="preserve">Un texte </w:t>
      </w:r>
      <w:r>
        <w:t>Un texte</w:t>
      </w:r>
      <w:r>
        <w:tab/>
        <w:t xml:space="preserve">avec tabulation et </w:t>
      </w:r>
      <w:r>
        <w:rPr>
          <w:vertAlign w:val="superscript"/>
        </w:rPr>
        <w:t>exposant</w:t>
      </w:r>
      <w:r>
        <w:t>.</w:t>
      </w:r>
    </w:p>
    <w:sectPr w:rsidR="00A1B2C3">
      <w:footnotePr>
        <w:numFmt w:val="decimal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comment w:id="1" w:author="Christophe" w:date="2026-10-14T09:03:00Z" w:initials="CK">
    <w:p w14:paraId="5C000001" w14:textId="5C000001">
      <w:pPr>
        <w:pStyle w:val="Commentaire"/>
      </w:pPr>
      <w:r>
        <w:rPr>
          <w:rStyle w:val="Marquedecommentaire"/>
        </w:rPr>
        <w:annotationRef/>
      </w:r>
      <w:r>
        <w:t>Pourquoi 0,6 et pas 0,5 ? Une courte analyse de sensibilité serait la bienvenue.</w:t>
      </w:r>
    </w:p>
  </w:comment>
  <w:comment w:id="2" w:author="Thierry" w:date="2026-10-15T14:20:00Z" w:initials="TL">
    <w:p w14:paraId="5C000002" w14:textId="5C000002">
      <w:pPr>
        <w:pStyle w:val="Commentaire"/>
      </w:pPr>
      <w:r>
        <w:rPr>
          <w:rStyle w:val="Marquedecommentaire"/>
        </w:rPr>
        <w:annotationRef/>
      </w:r>
      <w:r>
        <w:t>D'accord, je l'ajoute en annexe.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5C000001" w15:done="0"/>
  <w15:commentEx w15:paraId="5C000002" w15:paraIdParent="5C000001" w15:done="0"/>
</w15:commentsEx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Notedebasdepage"/>
      </w:pPr>
      <w:r>
        <w:rPr>
          <w:rStyle w:val="Appelnotedebasdep"/>
        </w:rPr>
        <w:footnoteRef/>
      </w:r>
      <w:r>
        <w:t xml:space="preserve"> Seuil appliqué à la fraction </w:t>
      </w:r>
      <w:ins w:id="120" w:author="Christophe" w:date="2026-10-14T09:12:00Z">
        <w:r>
          <w:t>Sentinel-2 </w:t>
        </w:r>
      </w:ins>
      <w:r>
        <w:t>moyenne de juillet à septembre.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fr-CA"/>
      </w:rPr>
    </w:r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2"/>
    </w:rPr>
  </w:style>
  <w:style w:type="paragraph" w:styleId="Titre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Lgende">
    <w:name w:val="caption"/>
    <w:basedOn w:val="Normal"/>
    <w:rPr>
      <w:i/>
      <w:sz w:val="20"/>
    </w:rPr>
  </w:style>
  <w:style w:type="paragraph" w:styleId="Commentaire">
    <w:name w:val="annotation text"/>
    <w:basedOn w:val="Normal"/>
    <w:rPr>
      <w:sz w:val="20"/>
    </w:rPr>
  </w:style>
  <w:style w:type="character" w:styleId="Marquedecommentaire">
    <w:name w:val="annotation reference"/>
    <w:rPr>
      <w:sz w:val="16"/>
    </w:rPr>
  </w:style>
  <w:style w:type="character" w:styleId="Lienhypertexte">
    <w:name w:val="Hyperlink"/>
    <w:rPr>
      <w:color w:val="0563C1"/>
      <w:u w:val="single"/>
    </w:rPr>
  </w:style>
  <w:style w:type="paragraph" w:styleId="Notedebasdepage">
    <w:name w:val="footnote text"/>
    <w:basedOn w:val="Normal"/>
    <w:rPr>
      <w:sz w:val="20"/>
    </w:rPr>
  </w:style>
  <w:style w:type="character" w:styleId="Appelnotedebasdep">
    <w:name w:val="footnote reference"/>
    <w:rPr>
      <w:vertAlign w:val="superscript"/>
    </w:rPr>
  </w:style>
  <w:style w:type="table" w:default="1" w:styleId="Tableau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footnotes" Target="footnotes.xml"/><Relationship Id="rId5" Type="http://schemas.openxmlformats.org/officeDocument/2006/relationships/image" Target="media/image1.png"/><Relationship Id="rId6" Type="http://schemas.openxmlformats.org/officeDocument/2006/relationships/hyperlink" Target="https://nsidc.org/" TargetMode="External"/>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Chapitre 2</dc:title>
  <dc:creator>Thierry</dc:creator>
  <cp:lastModifiedBy>Christophe</cp:lastModifiedBy>
  <dcterms:modified xsi:type="dcterms:W3CDTF">2026-10-14T09:12:00Z</dcterms:modified>
</cp:coreProperties>
</file>